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EDD029">
      <w:pPr>
        <w:rPr>
          <w:rFonts w:hint="eastAsia" w:ascii="黑体" w:hAnsi="黑体" w:eastAsia="黑体"/>
          <w:sz w:val="32"/>
          <w:szCs w:val="32"/>
        </w:rPr>
      </w:pPr>
    </w:p>
    <w:p w14:paraId="51578EA8">
      <w:pPr>
        <w:jc w:val="center"/>
        <w:rPr>
          <w:rFonts w:hint="eastAsia" w:ascii="方正小标宋_GBK" w:hAnsi="宋体" w:eastAsia="方正小标宋_GBK"/>
          <w:sz w:val="44"/>
          <w:szCs w:val="44"/>
        </w:rPr>
      </w:pPr>
    </w:p>
    <w:p w14:paraId="2708B41A">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木垒哈萨克自治县大浪沙水库建设管理处</w:t>
      </w:r>
    </w:p>
    <w:p w14:paraId="13F20098">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60D951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121CA2D1">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F9EE624">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DEFF873">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A1B39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18942D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9D6D9FF">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5275F0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1A9173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EEC14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1EBF6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44974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110FBA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39268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2CAFF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0BE68B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3C414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444F77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4D6D3B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0850FD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7BBE58D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50631BDA">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5305BD5">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B3FA17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323319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8317CD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5D90076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79798B9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6ED9D3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4B4193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C3870E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C513068">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1BAC65F">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558F405">
      <w:r>
        <w:rPr>
          <w:rFonts w:hint="eastAsia" w:ascii="仿宋_GB2312" w:hAnsi="仿宋_GB2312" w:eastAsia="仿宋_GB2312" w:cs="仿宋_GB2312"/>
          <w:sz w:val="32"/>
          <w:szCs w:val="32"/>
        </w:rPr>
        <w:fldChar w:fldCharType="end"/>
      </w:r>
    </w:p>
    <w:p w14:paraId="10961E90">
      <w:pPr>
        <w:rPr>
          <w:rFonts w:ascii="仿宋_GB2312" w:eastAsia="仿宋_GB2312"/>
          <w:sz w:val="32"/>
          <w:szCs w:val="32"/>
        </w:rPr>
      </w:pPr>
      <w:r>
        <w:rPr>
          <w:rFonts w:hint="eastAsia" w:ascii="仿宋_GB2312" w:eastAsia="仿宋_GB2312"/>
          <w:sz w:val="32"/>
          <w:szCs w:val="32"/>
        </w:rPr>
        <w:br w:type="page"/>
      </w:r>
    </w:p>
    <w:p w14:paraId="6A1F3D5F">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4B825528">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209ABBB">
      <w:pPr>
        <w:ind w:firstLine="640" w:firstLineChars="200"/>
        <w:rPr>
          <w:rFonts w:ascii="仿宋_GB2312" w:eastAsia="仿宋_GB2312"/>
          <w:sz w:val="32"/>
          <w:szCs w:val="32"/>
        </w:rPr>
      </w:pPr>
      <w:r>
        <w:rPr>
          <w:rFonts w:hint="eastAsia" w:ascii="仿宋_GB2312" w:eastAsia="仿宋_GB2312"/>
          <w:sz w:val="32"/>
          <w:szCs w:val="32"/>
        </w:rPr>
        <w:t>负责水库建设管理工作，负责人畜饮水供应及管理工作。为附近的乡镇提供自来水及灌溉用水，利用水坝上的水力发电机来产生电力，运河系统的一部份，水库的防洪效益，对库区和下游进行径流调节。</w:t>
      </w:r>
    </w:p>
    <w:p w14:paraId="280E1AB9">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023F35D">
      <w:pPr>
        <w:ind w:firstLine="640" w:firstLineChars="200"/>
        <w:rPr>
          <w:rFonts w:hint="eastAsia" w:ascii="仿宋_GB2312" w:hAnsi="仿宋_GB2312" w:eastAsia="仿宋_GB2312" w:cs="仿宋_GB2312"/>
          <w:b/>
          <w:sz w:val="32"/>
          <w:szCs w:val="32"/>
        </w:rPr>
      </w:pPr>
      <w:r>
        <w:rPr>
          <w:rFonts w:hint="eastAsia" w:ascii="仿宋_GB2312" w:eastAsia="仿宋_GB2312"/>
          <w:sz w:val="32"/>
          <w:szCs w:val="32"/>
        </w:rPr>
        <w:t>木垒哈萨克自治县大浪沙水库建设管理处2023年度，实有人数</w:t>
      </w:r>
      <w:r>
        <w:rPr>
          <w:rFonts w:hint="eastAsia" w:ascii="仿宋_GB2312" w:eastAsia="仿宋_GB2312"/>
          <w:sz w:val="32"/>
          <w:szCs w:val="32"/>
          <w:lang w:val="zh-CN"/>
        </w:rPr>
        <w:t>2</w:t>
      </w:r>
      <w:r>
        <w:rPr>
          <w:rFonts w:hint="eastAsia" w:ascii="仿宋_GB2312" w:eastAsia="仿宋_GB2312"/>
          <w:sz w:val="32"/>
          <w:szCs w:val="32"/>
        </w:rPr>
        <w:t>人，其中：在职人员</w:t>
      </w:r>
      <w:r>
        <w:rPr>
          <w:rFonts w:hint="eastAsia" w:ascii="仿宋_GB2312" w:eastAsia="仿宋_GB2312"/>
          <w:sz w:val="32"/>
          <w:szCs w:val="32"/>
          <w:lang w:val="zh-CN"/>
        </w:rPr>
        <w:t>2</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529795A5">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eastAsia="仿宋_GB2312" w:cs="仿宋_GB2312"/>
          <w:kern w:val="0"/>
          <w:sz w:val="32"/>
          <w:szCs w:val="32"/>
          <w:lang w:val="zh-CN"/>
        </w:rPr>
        <w:t>下设</w:t>
      </w:r>
      <w:r>
        <w:rPr>
          <w:rFonts w:ascii="仿宋_GB2312" w:eastAsia="仿宋_GB2312" w:cs="仿宋_GB2312"/>
          <w:kern w:val="0"/>
          <w:sz w:val="32"/>
          <w:szCs w:val="32"/>
          <w:lang w:val="zh-CN"/>
        </w:rPr>
        <w:t>1</w:t>
      </w:r>
      <w:r>
        <w:rPr>
          <w:rFonts w:hint="eastAsia" w:ascii="仿宋_GB2312" w:eastAsia="仿宋_GB2312" w:cs="仿宋_GB2312"/>
          <w:kern w:val="0"/>
          <w:sz w:val="32"/>
          <w:szCs w:val="32"/>
          <w:lang w:val="zh-CN"/>
        </w:rPr>
        <w:t>个处室，分别是：</w:t>
      </w:r>
      <w:r>
        <w:rPr>
          <w:rFonts w:hint="eastAsia" w:ascii="仿宋_GB2312" w:hAnsi="宋体" w:eastAsia="仿宋_GB2312" w:cs="宋体"/>
          <w:color w:val="000000"/>
          <w:kern w:val="0"/>
          <w:sz w:val="32"/>
          <w:szCs w:val="32"/>
        </w:rPr>
        <w:t>财务室</w:t>
      </w:r>
      <w:r>
        <w:rPr>
          <w:rFonts w:hint="eastAsia" w:ascii="仿宋_GB2312" w:hAnsi="宋体" w:eastAsia="仿宋_GB2312" w:cs="宋体"/>
          <w:kern w:val="0"/>
          <w:sz w:val="32"/>
          <w:szCs w:val="32"/>
        </w:rPr>
        <w:t>。</w:t>
      </w:r>
    </w:p>
    <w:p w14:paraId="6EE0B52C">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D934D46">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57084CAC">
      <w:pPr>
        <w:ind w:firstLine="640" w:firstLineChars="200"/>
        <w:jc w:val="left"/>
        <w:rPr>
          <w:rFonts w:ascii="仿宋_GB2312" w:eastAsia="仿宋_GB2312"/>
          <w:sz w:val="32"/>
          <w:szCs w:val="32"/>
        </w:rPr>
      </w:pPr>
      <w:r>
        <w:rPr>
          <w:rFonts w:hint="eastAsia" w:ascii="仿宋_GB2312" w:eastAsia="仿宋_GB2312"/>
          <w:sz w:val="32"/>
          <w:szCs w:val="32"/>
        </w:rPr>
        <w:t>2023年度收入总计51.08万元，其中：本年收入合计51.08万元，使用非财政拨款结余0.00万元，年初结转和结余0.00万元。</w:t>
      </w:r>
    </w:p>
    <w:p w14:paraId="74723EF1">
      <w:pPr>
        <w:ind w:firstLine="640" w:firstLineChars="200"/>
        <w:jc w:val="left"/>
        <w:rPr>
          <w:rFonts w:ascii="仿宋_GB2312" w:eastAsia="仿宋_GB2312"/>
          <w:sz w:val="32"/>
          <w:szCs w:val="32"/>
        </w:rPr>
      </w:pPr>
      <w:r>
        <w:rPr>
          <w:rFonts w:hint="eastAsia" w:ascii="仿宋_GB2312" w:eastAsia="仿宋_GB2312"/>
          <w:sz w:val="32"/>
          <w:szCs w:val="32"/>
        </w:rPr>
        <w:t>2023年度支出总计51.08万元，其中：本年支出合计51.08万元，结余分配0.00万元，年末结转和结余0.00万元。</w:t>
      </w:r>
    </w:p>
    <w:p w14:paraId="5DE5A94C">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减少14.30万元</w:t>
      </w:r>
      <w:r>
        <w:rPr>
          <w:rFonts w:hint="eastAsia" w:ascii="仿宋_GB2312" w:eastAsia="仿宋_GB2312"/>
          <w:sz w:val="32"/>
          <w:szCs w:val="32"/>
        </w:rPr>
        <w:t>，下降21.87%，主要原因是：本年单位人员减少，相应人员薪资、津贴补贴、奖金等减少。</w:t>
      </w:r>
    </w:p>
    <w:p w14:paraId="4E9CAB4A">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6B641830">
      <w:pPr>
        <w:ind w:firstLine="640" w:firstLineChars="200"/>
        <w:jc w:val="left"/>
        <w:rPr>
          <w:rFonts w:ascii="仿宋_GB2312" w:eastAsia="仿宋_GB2312"/>
          <w:sz w:val="32"/>
          <w:szCs w:val="32"/>
        </w:rPr>
      </w:pPr>
      <w:r>
        <w:rPr>
          <w:rFonts w:hint="eastAsia" w:ascii="仿宋_GB2312" w:eastAsia="仿宋_GB2312"/>
          <w:sz w:val="32"/>
          <w:szCs w:val="32"/>
        </w:rPr>
        <w:t>本年收入51.08万元，其中：财政拨款收入</w:t>
      </w:r>
      <w:r>
        <w:rPr>
          <w:rFonts w:hint="eastAsia" w:ascii="仿宋_GB2312" w:eastAsia="仿宋_GB2312"/>
          <w:sz w:val="32"/>
          <w:szCs w:val="32"/>
          <w:lang w:val="zh-CN"/>
        </w:rPr>
        <w:t>51.08</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7A00CF43">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0C1C37D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本年支出51.08万元，其中：基本支出51.08万元，占100.00%；项目支出0.00万元，占0.00%；上缴上级支出0.00万元，占0.00%；经营支出0.00万元，占0.00%；对附属单位补助支出0.00万元，占0.00%。</w:t>
      </w:r>
    </w:p>
    <w:p w14:paraId="31975913">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1640EE32">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51.08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51.08</w:t>
      </w:r>
      <w:r>
        <w:rPr>
          <w:rFonts w:hint="eastAsia" w:ascii="仿宋_GB2312" w:eastAsia="仿宋_GB2312"/>
          <w:sz w:val="32"/>
          <w:szCs w:val="32"/>
        </w:rPr>
        <w:t>万元。财政拨款支出总计</w:t>
      </w:r>
      <w:r>
        <w:rPr>
          <w:rFonts w:hint="eastAsia" w:ascii="仿宋_GB2312" w:eastAsia="仿宋_GB2312"/>
          <w:sz w:val="32"/>
          <w:szCs w:val="32"/>
          <w:lang w:val="zh-CN"/>
        </w:rPr>
        <w:t>51.08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51.08</w:t>
      </w:r>
      <w:r>
        <w:rPr>
          <w:rFonts w:hint="eastAsia" w:ascii="仿宋_GB2312" w:eastAsia="仿宋_GB2312"/>
          <w:sz w:val="32"/>
          <w:szCs w:val="32"/>
        </w:rPr>
        <w:t>万元。</w:t>
      </w:r>
    </w:p>
    <w:p w14:paraId="53FEA1CB">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减少14.30万元</w:t>
      </w:r>
      <w:r>
        <w:rPr>
          <w:rFonts w:hint="eastAsia" w:ascii="仿宋_GB2312" w:eastAsia="仿宋_GB2312"/>
          <w:sz w:val="32"/>
          <w:szCs w:val="32"/>
        </w:rPr>
        <w:t>，下降21.87%,主要原因是：本年单位人员减少，相应人员薪资、津贴补贴、奖金等减少。与年初预算相比，年初预算数</w:t>
      </w:r>
      <w:r>
        <w:rPr>
          <w:rFonts w:hint="eastAsia" w:ascii="仿宋_GB2312" w:eastAsia="仿宋_GB2312"/>
          <w:sz w:val="32"/>
          <w:szCs w:val="32"/>
          <w:lang w:val="zh-CN"/>
        </w:rPr>
        <w:t>50.61</w:t>
      </w:r>
      <w:r>
        <w:rPr>
          <w:rFonts w:hint="eastAsia" w:ascii="仿宋_GB2312" w:eastAsia="仿宋_GB2312"/>
          <w:sz w:val="32"/>
          <w:szCs w:val="32"/>
        </w:rPr>
        <w:t>万元，决算数</w:t>
      </w:r>
      <w:r>
        <w:rPr>
          <w:rFonts w:hint="eastAsia" w:ascii="仿宋_GB2312" w:eastAsia="仿宋_GB2312"/>
          <w:sz w:val="32"/>
          <w:szCs w:val="32"/>
          <w:lang w:val="zh-CN"/>
        </w:rPr>
        <w:t>51.08</w:t>
      </w:r>
      <w:r>
        <w:rPr>
          <w:rFonts w:hint="eastAsia" w:ascii="仿宋_GB2312" w:eastAsia="仿宋_GB2312"/>
          <w:sz w:val="32"/>
          <w:szCs w:val="32"/>
        </w:rPr>
        <w:t>万元，预决算差异率0.93%，主要原因是：</w:t>
      </w:r>
      <w:r>
        <w:rPr>
          <w:rFonts w:hint="eastAsia" w:ascii="仿宋_GB2312" w:eastAsia="仿宋_GB2312"/>
          <w:sz w:val="32"/>
          <w:szCs w:val="32"/>
          <w:lang w:val="en-US" w:eastAsia="zh-CN"/>
        </w:rPr>
        <w:t>年中追加长聘人员工资福利费用</w:t>
      </w:r>
      <w:r>
        <w:rPr>
          <w:rFonts w:hint="eastAsia" w:ascii="仿宋_GB2312" w:eastAsia="仿宋_GB2312"/>
          <w:sz w:val="32"/>
          <w:szCs w:val="32"/>
        </w:rPr>
        <w:t>。</w:t>
      </w:r>
    </w:p>
    <w:p w14:paraId="6A91DA56">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7871FD2A">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80A31FD">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2023年度一般公共预算财政拨款支出51.08万元，占本年支出合计的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减少14.30万元</w:t>
      </w:r>
      <w:r>
        <w:rPr>
          <w:rFonts w:hint="eastAsia" w:ascii="仿宋_GB2312" w:eastAsia="仿宋_GB2312"/>
          <w:sz w:val="32"/>
          <w:szCs w:val="32"/>
        </w:rPr>
        <w:t>，下降21.87%,主要原因是：本年单位人员减少，相应人员薪资、津贴补贴、奖金等减少。与年初预算相比，年初预算数</w:t>
      </w:r>
      <w:r>
        <w:rPr>
          <w:rFonts w:hint="eastAsia" w:ascii="仿宋_GB2312" w:eastAsia="仿宋_GB2312"/>
          <w:sz w:val="32"/>
          <w:szCs w:val="32"/>
          <w:lang w:val="zh-CN"/>
        </w:rPr>
        <w:t>50.61</w:t>
      </w:r>
      <w:r>
        <w:rPr>
          <w:rFonts w:hint="eastAsia" w:ascii="仿宋_GB2312" w:eastAsia="仿宋_GB2312"/>
          <w:sz w:val="32"/>
          <w:szCs w:val="32"/>
        </w:rPr>
        <w:t>万元，决算数</w:t>
      </w:r>
      <w:r>
        <w:rPr>
          <w:rFonts w:hint="eastAsia" w:ascii="仿宋_GB2312" w:eastAsia="仿宋_GB2312"/>
          <w:sz w:val="32"/>
          <w:szCs w:val="32"/>
          <w:lang w:val="zh-CN"/>
        </w:rPr>
        <w:t>51.08</w:t>
      </w:r>
      <w:r>
        <w:rPr>
          <w:rFonts w:hint="eastAsia" w:ascii="仿宋_GB2312" w:eastAsia="仿宋_GB2312"/>
          <w:sz w:val="32"/>
          <w:szCs w:val="32"/>
        </w:rPr>
        <w:t>万元，预决算差异率</w:t>
      </w:r>
      <w:r>
        <w:rPr>
          <w:rFonts w:hint="eastAsia" w:ascii="仿宋_GB2312" w:eastAsia="仿宋_GB2312"/>
          <w:sz w:val="32"/>
          <w:szCs w:val="32"/>
          <w:lang w:val="zh-CN"/>
        </w:rPr>
        <w:t>0.93%</w:t>
      </w:r>
      <w:r>
        <w:rPr>
          <w:rFonts w:hint="eastAsia" w:ascii="仿宋_GB2312" w:eastAsia="仿宋_GB2312"/>
          <w:sz w:val="32"/>
          <w:szCs w:val="32"/>
        </w:rPr>
        <w:t>，主要原因是：</w:t>
      </w:r>
      <w:r>
        <w:rPr>
          <w:rFonts w:hint="eastAsia" w:ascii="仿宋_GB2312" w:eastAsia="仿宋_GB2312"/>
          <w:sz w:val="32"/>
          <w:szCs w:val="32"/>
          <w:lang w:val="en-US" w:eastAsia="zh-CN"/>
        </w:rPr>
        <w:t>年中追加长聘人员工资福利费用</w:t>
      </w:r>
      <w:r>
        <w:rPr>
          <w:rFonts w:hint="eastAsia" w:ascii="仿宋_GB2312" w:eastAsia="仿宋_GB2312"/>
          <w:sz w:val="32"/>
          <w:szCs w:val="32"/>
        </w:rPr>
        <w:t>。</w:t>
      </w:r>
    </w:p>
    <w:p w14:paraId="4A2C88F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B39521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3.00</w:t>
      </w:r>
      <w:r>
        <w:rPr>
          <w:rFonts w:ascii="仿宋_GB2312" w:eastAsia="仿宋_GB2312"/>
          <w:kern w:val="2"/>
          <w:sz w:val="32"/>
          <w:szCs w:val="32"/>
          <w:lang w:val="zh-CN"/>
        </w:rPr>
        <w:t>万元，占</w:t>
      </w:r>
      <w:r>
        <w:rPr>
          <w:rFonts w:hint="eastAsia" w:ascii="仿宋_GB2312" w:eastAsia="仿宋_GB2312"/>
          <w:kern w:val="2"/>
          <w:sz w:val="32"/>
          <w:szCs w:val="32"/>
          <w:lang w:val="zh-CN"/>
        </w:rPr>
        <w:t>5.87</w:t>
      </w:r>
      <w:r>
        <w:rPr>
          <w:rFonts w:ascii="仿宋_GB2312" w:eastAsia="仿宋_GB2312"/>
          <w:kern w:val="2"/>
          <w:sz w:val="32"/>
          <w:szCs w:val="32"/>
          <w:lang w:val="zh-CN"/>
        </w:rPr>
        <w:t>%；</w:t>
      </w:r>
    </w:p>
    <w:p w14:paraId="52C67FA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.农林水支出（类）</w:t>
      </w:r>
      <w:r>
        <w:rPr>
          <w:rFonts w:hint="eastAsia" w:ascii="仿宋_GB2312" w:eastAsia="仿宋_GB2312"/>
          <w:kern w:val="2"/>
          <w:sz w:val="32"/>
          <w:szCs w:val="32"/>
          <w:lang w:val="zh-CN"/>
        </w:rPr>
        <w:t>45.74</w:t>
      </w:r>
      <w:r>
        <w:rPr>
          <w:rFonts w:ascii="仿宋_GB2312" w:eastAsia="仿宋_GB2312"/>
          <w:kern w:val="2"/>
          <w:sz w:val="32"/>
          <w:szCs w:val="32"/>
          <w:lang w:val="zh-CN"/>
        </w:rPr>
        <w:t>万元，占</w:t>
      </w:r>
      <w:r>
        <w:rPr>
          <w:rFonts w:hint="eastAsia" w:ascii="仿宋_GB2312" w:eastAsia="仿宋_GB2312"/>
          <w:kern w:val="2"/>
          <w:sz w:val="32"/>
          <w:szCs w:val="32"/>
          <w:lang w:val="zh-CN"/>
        </w:rPr>
        <w:t>89.55</w:t>
      </w:r>
      <w:r>
        <w:rPr>
          <w:rFonts w:ascii="仿宋_GB2312" w:eastAsia="仿宋_GB2312"/>
          <w:kern w:val="2"/>
          <w:sz w:val="32"/>
          <w:szCs w:val="32"/>
          <w:lang w:val="zh-CN"/>
        </w:rPr>
        <w:t>%；</w:t>
      </w:r>
    </w:p>
    <w:p w14:paraId="7B6FF84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2.34</w:t>
      </w:r>
      <w:r>
        <w:rPr>
          <w:rFonts w:ascii="仿宋_GB2312" w:eastAsia="仿宋_GB2312"/>
          <w:kern w:val="2"/>
          <w:sz w:val="32"/>
          <w:szCs w:val="32"/>
          <w:lang w:val="zh-CN"/>
        </w:rPr>
        <w:t>万元，占</w:t>
      </w:r>
      <w:r>
        <w:rPr>
          <w:rFonts w:hint="eastAsia" w:ascii="仿宋_GB2312" w:eastAsia="仿宋_GB2312"/>
          <w:kern w:val="2"/>
          <w:sz w:val="32"/>
          <w:szCs w:val="32"/>
          <w:lang w:val="zh-CN"/>
        </w:rPr>
        <w:t>4.58</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AA573D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85AA6B4">
      <w:pPr>
        <w:ind w:firstLine="640" w:firstLineChars="200"/>
        <w:jc w:val="left"/>
        <w:rPr>
          <w:rFonts w:ascii="仿宋_GB2312" w:eastAsia="仿宋_GB2312"/>
          <w:sz w:val="32"/>
          <w:szCs w:val="32"/>
        </w:rPr>
      </w:pPr>
      <w:r>
        <w:rPr>
          <w:rFonts w:hint="eastAsia" w:ascii="仿宋_GB2312" w:eastAsia="仿宋_GB2312"/>
          <w:sz w:val="32"/>
          <w:szCs w:val="32"/>
        </w:rPr>
        <w:t>1.住房保障支出（类）住房改革支出（款）住房公积金（项）:支出决算数为2.34万元，比上年决算减少1.32万元，下降36.07%，主要原因是：本年单位人员经费减少，相应公积金缴费减少。</w:t>
      </w:r>
    </w:p>
    <w:p w14:paraId="18B9EA76">
      <w:pPr>
        <w:ind w:firstLine="640" w:firstLineChars="200"/>
        <w:jc w:val="left"/>
        <w:rPr>
          <w:rFonts w:ascii="仿宋_GB2312" w:eastAsia="仿宋_GB2312"/>
          <w:sz w:val="32"/>
          <w:szCs w:val="32"/>
        </w:rPr>
      </w:pPr>
      <w:r>
        <w:rPr>
          <w:rFonts w:hint="eastAsia" w:ascii="仿宋_GB2312" w:eastAsia="仿宋_GB2312"/>
          <w:sz w:val="32"/>
          <w:szCs w:val="32"/>
        </w:rPr>
        <w:t>2.农林水支出（类）水利（款）水利工程运行与维护（项）:支出决算数为45.74万元，比上年决算减少8.80万元，下降16.13%，主要原因是：本年单位取暖费、邮电费较上年减少。</w:t>
      </w:r>
    </w:p>
    <w:p w14:paraId="2F6464A5">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行政事业单位养老支出（款）机关事业单位基本养老保险缴费支出（项）:支出决算数为3.00万元，比上年决算减少1.78万元，下降37.24%，主要原因是：本年单位人员减少，相应养老保险缴费减少。</w:t>
      </w:r>
    </w:p>
    <w:p w14:paraId="3975D520">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机关事业单位职业年金缴费支出（项）:支出决算数为0.00万元，比上年决算减少2.39万元，下降100%，主要原因是：本年功能科目调整，此科目经费本年合并至主款科目核算，导致此经费减少。</w:t>
      </w:r>
    </w:p>
    <w:p w14:paraId="787DF58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341322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51.08万元，其中：人员经费36.03万元，包括：基本工资、津贴补贴、奖金、机关事业单位基本养老保险缴费、职工基本医疗保险缴费、其他社会保障缴费、住房公积金、其他工资福利支出。</w:t>
      </w:r>
    </w:p>
    <w:p w14:paraId="2466861A">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公用经费15.05万元，包括：办公费、邮电费、取暖费、维修（护）费、公务用车运行维护费、其他交通费用</w:t>
      </w:r>
      <w:r>
        <w:rPr>
          <w:rFonts w:hint="eastAsia" w:ascii="仿宋_GB2312" w:hAnsi="宋体" w:eastAsia="仿宋_GB2312" w:cs="宋体"/>
          <w:kern w:val="0"/>
          <w:sz w:val="32"/>
          <w:szCs w:val="32"/>
        </w:rPr>
        <w:t>。</w:t>
      </w:r>
    </w:p>
    <w:p w14:paraId="0C33557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862445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“三公”经费支出0.25万元，</w:t>
      </w:r>
      <w:r>
        <w:rPr>
          <w:rFonts w:hint="eastAsia" w:ascii="仿宋_GB2312" w:eastAsia="仿宋_GB2312"/>
          <w:sz w:val="32"/>
          <w:szCs w:val="32"/>
        </w:rPr>
        <w:t>比上年</w:t>
      </w:r>
      <w:r>
        <w:rPr>
          <w:rFonts w:hint="eastAsia" w:ascii="仿宋_GB2312" w:eastAsia="仿宋_GB2312"/>
          <w:sz w:val="32"/>
          <w:szCs w:val="32"/>
          <w:lang w:val="zh-CN"/>
        </w:rPr>
        <w:t>增加0.25万元，</w:t>
      </w:r>
      <w:r>
        <w:rPr>
          <w:rFonts w:hint="eastAsia" w:ascii="仿宋_GB2312" w:eastAsia="仿宋_GB2312"/>
          <w:sz w:val="32"/>
          <w:szCs w:val="32"/>
        </w:rPr>
        <w:t>增长100.00%,</w:t>
      </w:r>
      <w:r>
        <w:rPr>
          <w:rFonts w:hint="eastAsia" w:ascii="仿宋_GB2312" w:eastAsia="仿宋_GB2312"/>
          <w:sz w:val="32"/>
          <w:szCs w:val="32"/>
          <w:lang w:val="zh-CN"/>
        </w:rPr>
        <w:t>主要原因是：车辆</w:t>
      </w:r>
      <w:r>
        <w:rPr>
          <w:rFonts w:hint="eastAsia" w:ascii="仿宋_GB2312" w:eastAsia="仿宋_GB2312"/>
          <w:sz w:val="32"/>
          <w:szCs w:val="32"/>
          <w:lang w:val="en-US" w:eastAsia="zh-CN"/>
        </w:rPr>
        <w:t>出行次数增加</w:t>
      </w:r>
      <w:r>
        <w:rPr>
          <w:rFonts w:hint="eastAsia" w:ascii="仿宋_GB2312" w:eastAsia="仿宋_GB2312"/>
          <w:sz w:val="32"/>
          <w:szCs w:val="32"/>
          <w:lang w:val="zh-CN"/>
        </w:rPr>
        <w:t>，增加车辆维护维修费、燃油费等。其中：因公出国（境）费支出0.00万元，占0.00%，比上年增加0.00万元，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主要原因是：单位本年无此项经费；公务用车购置及运行维护费支出0.25万元，</w:t>
      </w:r>
      <w:bookmarkStart w:id="48" w:name="_GoBack"/>
      <w:bookmarkEnd w:id="48"/>
      <w:r>
        <w:rPr>
          <w:rFonts w:hint="eastAsia" w:ascii="仿宋_GB2312" w:eastAsia="仿宋_GB2312"/>
          <w:sz w:val="32"/>
          <w:szCs w:val="32"/>
          <w:lang w:val="zh-CN"/>
        </w:rPr>
        <w:t>占100.00%，比上年增加0.25万元，</w:t>
      </w:r>
      <w:r>
        <w:rPr>
          <w:rFonts w:hint="eastAsia" w:ascii="仿宋_GB2312" w:eastAsia="仿宋_GB2312"/>
          <w:sz w:val="32"/>
          <w:szCs w:val="32"/>
        </w:rPr>
        <w:t>增长100.00%,</w:t>
      </w:r>
      <w:r>
        <w:rPr>
          <w:rFonts w:hint="eastAsia" w:ascii="仿宋_GB2312" w:eastAsia="仿宋_GB2312"/>
          <w:sz w:val="32"/>
          <w:szCs w:val="32"/>
          <w:lang w:val="zh-CN"/>
        </w:rPr>
        <w:t>主要原因是：车辆</w:t>
      </w:r>
      <w:r>
        <w:rPr>
          <w:rFonts w:hint="eastAsia" w:ascii="仿宋_GB2312" w:eastAsia="仿宋_GB2312"/>
          <w:sz w:val="32"/>
          <w:szCs w:val="32"/>
          <w:lang w:val="en-US" w:eastAsia="zh-CN"/>
        </w:rPr>
        <w:t>出行次数增加</w:t>
      </w:r>
      <w:r>
        <w:rPr>
          <w:rFonts w:hint="eastAsia" w:ascii="仿宋_GB2312" w:eastAsia="仿宋_GB2312"/>
          <w:sz w:val="32"/>
          <w:szCs w:val="32"/>
          <w:lang w:val="zh-CN"/>
        </w:rPr>
        <w:t>，增加车辆维护维修费、燃油费等；公务接待费支出0.00万元，占0.00%，比上年增加0.00万元，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5CE3B6F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6EEC58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311D5EF5">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0.25万元，其中：公务用车购置费0.00万元，公务用车运行维护费0.25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4ED0A15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4CA534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预算数0.25万元，决算数0.25万元，预决算差异率0.00%，主要原因是：严格按照预算执行，预决算对比无差异。其中：因公出国（境）费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预算数0.25万元，决算数0.25万元，预决算差异率0.00%，主要原因是：严格按照预算执行，预决算对比无差异；公务接待费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50E8DDD9">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AF90A25">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37C88A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26418A28">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2D79A71">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44C9F2B">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A82FE5B">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2023年度木垒哈萨克自治县大浪沙水库建设管理处（事业单位）公用经费支出15.04万元，比上年增加6.12万元，增长68.61%，主要原因是：本年单位办公经费、公务用车运行维护费增加。</w:t>
      </w:r>
    </w:p>
    <w:p w14:paraId="7E64A95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6C18F53">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2023年度政府采购支出总额2.25万元，其中：政府采购货物支出0.00万元、政府采购工程支出0.00万元、政府采购服务支出2.25万元。</w:t>
      </w:r>
    </w:p>
    <w:p w14:paraId="7AA454D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授予中小企业合同金额2.25万元，占政府采购支出总额的100.00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，其中：授予小微企业合同金额2.25万元，占政府采购支出总额的100.00</w:t>
      </w:r>
      <w:r>
        <w:rPr>
          <w:rFonts w:ascii="仿宋_GB2312" w:eastAsia="仿宋_GB2312"/>
          <w:sz w:val="32"/>
          <w:szCs w:val="32"/>
        </w:rPr>
        <w:t>%</w:t>
      </w:r>
      <w:r>
        <w:rPr>
          <w:rFonts w:hint="eastAsia" w:ascii="仿宋_GB2312" w:eastAsia="仿宋_GB2312"/>
          <w:sz w:val="32"/>
          <w:szCs w:val="32"/>
        </w:rPr>
        <w:t>。</w:t>
      </w:r>
    </w:p>
    <w:p w14:paraId="0D56C4E6">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54CC5F7B">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32.74万元，房屋0.00平方米，价值0.00万元。车辆1辆，价值18.32万元，其中：副部（省）级及以上领导用车0辆、主要负责人用车0辆、机要通信用车0辆、应急保障用车1辆、执法执勤用车0辆、特种专业技术用车0辆、离退休干部服务用车0辆、其他用车0辆，其他用车主要是：单位无其他车辆；单价100万元（含）以上设备（不含车辆）0台（套）。</w:t>
      </w:r>
    </w:p>
    <w:p w14:paraId="3F77C6CD">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71128D7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51.08</w:t>
      </w:r>
      <w:r>
        <w:rPr>
          <w:rFonts w:hint="eastAsia" w:ascii="仿宋_GB2312" w:eastAsia="仿宋_GB2312"/>
          <w:sz w:val="32"/>
          <w:szCs w:val="32"/>
        </w:rPr>
        <w:t>万元，实际执行总额</w:t>
      </w:r>
      <w:r>
        <w:rPr>
          <w:rFonts w:ascii="仿宋_GB2312" w:eastAsia="仿宋_GB2312"/>
          <w:sz w:val="32"/>
          <w:szCs w:val="32"/>
        </w:rPr>
        <w:t>51.08</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预算绩效评价项目1个，全年预算数</w:t>
      </w:r>
      <w:r>
        <w:rPr>
          <w:rFonts w:ascii="仿宋_GB2312" w:eastAsia="仿宋_GB2312"/>
          <w:sz w:val="32"/>
          <w:szCs w:val="32"/>
        </w:rPr>
        <w:t>15.00</w:t>
      </w:r>
      <w:r>
        <w:rPr>
          <w:rFonts w:hint="eastAsia" w:ascii="仿宋_GB2312" w:eastAsia="仿宋_GB2312"/>
          <w:sz w:val="32"/>
          <w:szCs w:val="32"/>
        </w:rPr>
        <w:t>万元，全年执行数</w:t>
      </w:r>
      <w:r>
        <w:rPr>
          <w:rFonts w:ascii="仿宋_GB2312" w:eastAsia="仿宋_GB2312"/>
          <w:sz w:val="32"/>
          <w:szCs w:val="32"/>
        </w:rPr>
        <w:t>15.00</w:t>
      </w:r>
      <w:r>
        <w:rPr>
          <w:rFonts w:hint="eastAsia" w:ascii="仿宋_GB2312" w:eastAsia="仿宋_GB2312"/>
          <w:sz w:val="32"/>
          <w:szCs w:val="32"/>
        </w:rPr>
        <w:t>万元。预算绩效管理取得的成效：一是做好群众服务工作，保障社会大局稳定，提高群众安全感；二是促进统筹规划和综合协调，提升人居环境质量</w:t>
      </w:r>
      <w:r>
        <w:rPr>
          <w:rFonts w:hint="eastAsia" w:ascii="仿宋_GB2312" w:eastAsia="仿宋_GB2312"/>
          <w:sz w:val="32"/>
          <w:szCs w:val="32"/>
          <w:lang w:eastAsia="zh-CN"/>
        </w:rPr>
        <w:t>，</w:t>
      </w:r>
      <w:r>
        <w:rPr>
          <w:rFonts w:hint="eastAsia" w:ascii="仿宋_GB2312" w:eastAsia="仿宋_GB2312"/>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47"/>
        <w:gridCol w:w="1199"/>
        <w:gridCol w:w="1166"/>
        <w:gridCol w:w="970"/>
        <w:gridCol w:w="1003"/>
        <w:gridCol w:w="796"/>
        <w:gridCol w:w="915"/>
        <w:gridCol w:w="926"/>
      </w:tblGrid>
      <w:tr w14:paraId="2E59523D">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5D26A373">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360560BB">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3B4B15F">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41A58543">
        <w:tblPrEx>
          <w:tblCellMar>
            <w:top w:w="0" w:type="dxa"/>
            <w:left w:w="108" w:type="dxa"/>
            <w:bottom w:w="0" w:type="dxa"/>
            <w:right w:w="108" w:type="dxa"/>
          </w:tblCellMar>
        </w:tblPrEx>
        <w:trPr>
          <w:trHeight w:val="660"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75CA9E6">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75" w:type="dxa"/>
            <w:gridSpan w:val="7"/>
            <w:tcBorders>
              <w:top w:val="single" w:color="auto" w:sz="4" w:space="0"/>
              <w:left w:val="nil"/>
              <w:bottom w:val="single" w:color="auto" w:sz="4" w:space="0"/>
              <w:right w:val="single" w:color="auto" w:sz="4" w:space="0"/>
            </w:tcBorders>
            <w:shd w:val="clear" w:color="auto" w:fill="auto"/>
            <w:noWrap/>
            <w:vAlign w:val="center"/>
          </w:tcPr>
          <w:p w14:paraId="08EE865E">
            <w:pPr>
              <w:widowControl/>
              <w:jc w:val="center"/>
              <w:rPr>
                <w:rFonts w:hint="eastAsia" w:ascii="宋体" w:hAnsi="宋体" w:cs="宋体"/>
                <w:kern w:val="0"/>
                <w:sz w:val="20"/>
                <w:szCs w:val="20"/>
              </w:rPr>
            </w:pPr>
            <w:r>
              <w:rPr>
                <w:rFonts w:hint="eastAsia" w:ascii="宋体" w:hAnsi="宋体" w:cs="宋体"/>
                <w:kern w:val="0"/>
                <w:sz w:val="20"/>
                <w:szCs w:val="20"/>
              </w:rPr>
              <w:t>木垒县大浪沙水库</w:t>
            </w:r>
          </w:p>
        </w:tc>
      </w:tr>
      <w:tr w14:paraId="75141C53">
        <w:tblPrEx>
          <w:tblCellMar>
            <w:top w:w="0" w:type="dxa"/>
            <w:left w:w="108" w:type="dxa"/>
            <w:bottom w:w="0" w:type="dxa"/>
            <w:right w:w="108" w:type="dxa"/>
          </w:tblCellMar>
        </w:tblPrEx>
        <w:trPr>
          <w:trHeight w:val="570" w:hRule="atLeast"/>
          <w:jc w:val="center"/>
        </w:trPr>
        <w:tc>
          <w:tcPr>
            <w:tcW w:w="15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F62F43">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9" w:type="dxa"/>
            <w:tcBorders>
              <w:top w:val="nil"/>
              <w:left w:val="nil"/>
              <w:bottom w:val="single" w:color="auto" w:sz="4" w:space="0"/>
              <w:right w:val="single" w:color="auto" w:sz="4" w:space="0"/>
            </w:tcBorders>
            <w:shd w:val="clear" w:color="auto" w:fill="auto"/>
            <w:vAlign w:val="center"/>
          </w:tcPr>
          <w:p w14:paraId="507FE199">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66" w:type="dxa"/>
            <w:tcBorders>
              <w:top w:val="nil"/>
              <w:left w:val="nil"/>
              <w:bottom w:val="single" w:color="auto" w:sz="4" w:space="0"/>
              <w:right w:val="single" w:color="auto" w:sz="4" w:space="0"/>
            </w:tcBorders>
            <w:shd w:val="clear" w:color="auto" w:fill="auto"/>
            <w:vAlign w:val="center"/>
          </w:tcPr>
          <w:p w14:paraId="54FE96A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70" w:type="dxa"/>
            <w:tcBorders>
              <w:top w:val="nil"/>
              <w:left w:val="nil"/>
              <w:bottom w:val="single" w:color="auto" w:sz="4" w:space="0"/>
              <w:right w:val="single" w:color="auto" w:sz="4" w:space="0"/>
            </w:tcBorders>
            <w:shd w:val="clear" w:color="auto" w:fill="auto"/>
            <w:vAlign w:val="center"/>
          </w:tcPr>
          <w:p w14:paraId="45E5757B">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003" w:type="dxa"/>
            <w:tcBorders>
              <w:top w:val="nil"/>
              <w:left w:val="nil"/>
              <w:bottom w:val="single" w:color="auto" w:sz="4" w:space="0"/>
              <w:right w:val="single" w:color="auto" w:sz="4" w:space="0"/>
            </w:tcBorders>
            <w:shd w:val="clear" w:color="auto" w:fill="auto"/>
            <w:vAlign w:val="center"/>
          </w:tcPr>
          <w:p w14:paraId="0ED8C51B">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796" w:type="dxa"/>
            <w:tcBorders>
              <w:top w:val="nil"/>
              <w:left w:val="nil"/>
              <w:bottom w:val="single" w:color="auto" w:sz="4" w:space="0"/>
              <w:right w:val="single" w:color="auto" w:sz="4" w:space="0"/>
            </w:tcBorders>
            <w:shd w:val="clear" w:color="auto" w:fill="auto"/>
            <w:vAlign w:val="center"/>
          </w:tcPr>
          <w:p w14:paraId="2D0E52FC">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5" w:type="dxa"/>
            <w:tcBorders>
              <w:top w:val="nil"/>
              <w:left w:val="nil"/>
              <w:bottom w:val="single" w:color="auto" w:sz="4" w:space="0"/>
              <w:right w:val="single" w:color="auto" w:sz="4" w:space="0"/>
            </w:tcBorders>
            <w:shd w:val="clear" w:color="auto" w:fill="auto"/>
            <w:vAlign w:val="center"/>
          </w:tcPr>
          <w:p w14:paraId="19924D8A">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926" w:type="dxa"/>
            <w:tcBorders>
              <w:top w:val="nil"/>
              <w:left w:val="nil"/>
              <w:bottom w:val="single" w:color="auto" w:sz="4" w:space="0"/>
              <w:right w:val="single" w:color="auto" w:sz="4" w:space="0"/>
            </w:tcBorders>
            <w:shd w:val="clear" w:color="auto" w:fill="auto"/>
            <w:vAlign w:val="center"/>
          </w:tcPr>
          <w:p w14:paraId="1CB55F42">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226C41F">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1F8F8295">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noWrap/>
            <w:vAlign w:val="center"/>
          </w:tcPr>
          <w:p w14:paraId="5F914D4B">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66" w:type="dxa"/>
            <w:tcBorders>
              <w:top w:val="nil"/>
              <w:left w:val="nil"/>
              <w:bottom w:val="single" w:color="auto" w:sz="4" w:space="0"/>
              <w:right w:val="single" w:color="auto" w:sz="4" w:space="0"/>
            </w:tcBorders>
            <w:shd w:val="clear" w:color="auto" w:fill="auto"/>
            <w:vAlign w:val="center"/>
          </w:tcPr>
          <w:p w14:paraId="644F14C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48DE058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08867B4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2A3378CE">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915" w:type="dxa"/>
            <w:tcBorders>
              <w:top w:val="nil"/>
              <w:left w:val="nil"/>
              <w:bottom w:val="single" w:color="auto" w:sz="4" w:space="0"/>
              <w:right w:val="single" w:color="auto" w:sz="4" w:space="0"/>
            </w:tcBorders>
            <w:shd w:val="clear" w:color="auto" w:fill="auto"/>
            <w:vAlign w:val="center"/>
          </w:tcPr>
          <w:p w14:paraId="13AE4AE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926" w:type="dxa"/>
            <w:tcBorders>
              <w:top w:val="nil"/>
              <w:left w:val="nil"/>
              <w:bottom w:val="single" w:color="auto" w:sz="4" w:space="0"/>
              <w:right w:val="single" w:color="auto" w:sz="4" w:space="0"/>
            </w:tcBorders>
            <w:shd w:val="clear" w:color="auto" w:fill="auto"/>
            <w:vAlign w:val="center"/>
          </w:tcPr>
          <w:p w14:paraId="207C787B">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2AFD093">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043ED75F">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79D8FF85">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66" w:type="dxa"/>
            <w:tcBorders>
              <w:top w:val="nil"/>
              <w:left w:val="nil"/>
              <w:bottom w:val="single" w:color="auto" w:sz="4" w:space="0"/>
              <w:right w:val="single" w:color="auto" w:sz="4" w:space="0"/>
            </w:tcBorders>
            <w:shd w:val="clear" w:color="auto" w:fill="auto"/>
            <w:vAlign w:val="center"/>
          </w:tcPr>
          <w:p w14:paraId="14CF915F">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7A08AD5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39EE0B6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7C37C4A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028140C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339DAAD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3F62771">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6DE17968">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7DFB7B18">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66" w:type="dxa"/>
            <w:tcBorders>
              <w:top w:val="nil"/>
              <w:left w:val="nil"/>
              <w:bottom w:val="single" w:color="auto" w:sz="4" w:space="0"/>
              <w:right w:val="single" w:color="auto" w:sz="4" w:space="0"/>
            </w:tcBorders>
            <w:shd w:val="clear" w:color="auto" w:fill="auto"/>
            <w:vAlign w:val="center"/>
          </w:tcPr>
          <w:p w14:paraId="33AE52B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41A7E7D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6176B14C">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217C8A4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41D26FB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41145463">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61C725F8">
        <w:tblPrEx>
          <w:tblCellMar>
            <w:top w:w="0" w:type="dxa"/>
            <w:left w:w="108" w:type="dxa"/>
            <w:bottom w:w="0" w:type="dxa"/>
            <w:right w:w="108" w:type="dxa"/>
          </w:tblCellMar>
        </w:tblPrEx>
        <w:trPr>
          <w:trHeight w:val="661"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5553ECD8">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0FB20FA9">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66" w:type="dxa"/>
            <w:tcBorders>
              <w:top w:val="nil"/>
              <w:left w:val="nil"/>
              <w:bottom w:val="single" w:color="auto" w:sz="4" w:space="0"/>
              <w:right w:val="single" w:color="auto" w:sz="4" w:space="0"/>
            </w:tcBorders>
            <w:shd w:val="clear" w:color="auto" w:fill="auto"/>
            <w:vAlign w:val="center"/>
          </w:tcPr>
          <w:p w14:paraId="3D0F7D2B">
            <w:pPr>
              <w:widowControl/>
              <w:jc w:val="center"/>
              <w:rPr>
                <w:rFonts w:hint="eastAsia" w:ascii="宋体" w:hAnsi="宋体" w:cs="宋体"/>
                <w:kern w:val="0"/>
                <w:sz w:val="20"/>
                <w:szCs w:val="20"/>
              </w:rPr>
            </w:pPr>
            <w:r>
              <w:rPr>
                <w:rFonts w:hint="eastAsia" w:ascii="宋体" w:hAnsi="宋体" w:cs="宋体"/>
                <w:kern w:val="0"/>
                <w:sz w:val="20"/>
                <w:szCs w:val="20"/>
              </w:rPr>
              <w:t>50.61</w:t>
            </w:r>
          </w:p>
        </w:tc>
        <w:tc>
          <w:tcPr>
            <w:tcW w:w="970" w:type="dxa"/>
            <w:tcBorders>
              <w:top w:val="nil"/>
              <w:left w:val="nil"/>
              <w:bottom w:val="single" w:color="auto" w:sz="4" w:space="0"/>
              <w:right w:val="single" w:color="auto" w:sz="4" w:space="0"/>
            </w:tcBorders>
            <w:shd w:val="clear" w:color="auto" w:fill="auto"/>
            <w:vAlign w:val="center"/>
          </w:tcPr>
          <w:p w14:paraId="1641ABFF">
            <w:pPr>
              <w:widowControl/>
              <w:jc w:val="center"/>
              <w:rPr>
                <w:rFonts w:hint="eastAsia" w:ascii="宋体" w:hAnsi="宋体" w:cs="宋体"/>
                <w:kern w:val="0"/>
                <w:sz w:val="20"/>
                <w:szCs w:val="20"/>
              </w:rPr>
            </w:pPr>
            <w:r>
              <w:rPr>
                <w:rFonts w:hint="eastAsia" w:ascii="宋体" w:hAnsi="宋体" w:cs="宋体"/>
                <w:kern w:val="0"/>
                <w:sz w:val="20"/>
                <w:szCs w:val="20"/>
              </w:rPr>
              <w:t>51.08</w:t>
            </w:r>
          </w:p>
        </w:tc>
        <w:tc>
          <w:tcPr>
            <w:tcW w:w="1003" w:type="dxa"/>
            <w:tcBorders>
              <w:top w:val="nil"/>
              <w:left w:val="nil"/>
              <w:bottom w:val="single" w:color="auto" w:sz="4" w:space="0"/>
              <w:right w:val="single" w:color="auto" w:sz="4" w:space="0"/>
            </w:tcBorders>
            <w:shd w:val="clear" w:color="auto" w:fill="auto"/>
            <w:vAlign w:val="center"/>
          </w:tcPr>
          <w:p w14:paraId="70701326">
            <w:pPr>
              <w:widowControl/>
              <w:jc w:val="center"/>
              <w:rPr>
                <w:rFonts w:hint="eastAsia" w:ascii="宋体" w:hAnsi="宋体" w:cs="宋体"/>
                <w:kern w:val="0"/>
                <w:sz w:val="20"/>
                <w:szCs w:val="20"/>
              </w:rPr>
            </w:pPr>
            <w:r>
              <w:rPr>
                <w:rFonts w:hint="eastAsia" w:ascii="宋体" w:hAnsi="宋体" w:cs="宋体"/>
                <w:kern w:val="0"/>
                <w:sz w:val="20"/>
                <w:szCs w:val="20"/>
              </w:rPr>
              <w:t>51.08</w:t>
            </w:r>
          </w:p>
        </w:tc>
        <w:tc>
          <w:tcPr>
            <w:tcW w:w="796" w:type="dxa"/>
            <w:tcBorders>
              <w:top w:val="nil"/>
              <w:left w:val="nil"/>
              <w:bottom w:val="single" w:color="auto" w:sz="4" w:space="0"/>
              <w:right w:val="single" w:color="auto" w:sz="4" w:space="0"/>
            </w:tcBorders>
            <w:shd w:val="clear" w:color="auto" w:fill="auto"/>
            <w:vAlign w:val="center"/>
          </w:tcPr>
          <w:p w14:paraId="169B9DE1">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6B048AF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28550C57">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B8E6DB3">
        <w:tblPrEx>
          <w:tblCellMar>
            <w:top w:w="0" w:type="dxa"/>
            <w:left w:w="108" w:type="dxa"/>
            <w:bottom w:w="0" w:type="dxa"/>
            <w:right w:w="108" w:type="dxa"/>
          </w:tblCellMar>
        </w:tblPrEx>
        <w:trPr>
          <w:trHeight w:val="556"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3008760F">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4FA5E48E">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66" w:type="dxa"/>
            <w:tcBorders>
              <w:top w:val="nil"/>
              <w:left w:val="nil"/>
              <w:bottom w:val="single" w:color="auto" w:sz="4" w:space="0"/>
              <w:right w:val="single" w:color="auto" w:sz="4" w:space="0"/>
            </w:tcBorders>
            <w:shd w:val="clear" w:color="auto" w:fill="auto"/>
            <w:vAlign w:val="center"/>
          </w:tcPr>
          <w:p w14:paraId="2A3E03E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2827EF50">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03" w:type="dxa"/>
            <w:tcBorders>
              <w:top w:val="nil"/>
              <w:left w:val="nil"/>
              <w:bottom w:val="single" w:color="auto" w:sz="4" w:space="0"/>
              <w:right w:val="single" w:color="auto" w:sz="4" w:space="0"/>
            </w:tcBorders>
            <w:shd w:val="clear" w:color="auto" w:fill="auto"/>
            <w:vAlign w:val="center"/>
          </w:tcPr>
          <w:p w14:paraId="1F148D5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96" w:type="dxa"/>
            <w:tcBorders>
              <w:top w:val="nil"/>
              <w:left w:val="nil"/>
              <w:bottom w:val="single" w:color="auto" w:sz="4" w:space="0"/>
              <w:right w:val="single" w:color="auto" w:sz="4" w:space="0"/>
            </w:tcBorders>
            <w:shd w:val="clear" w:color="auto" w:fill="auto"/>
            <w:vAlign w:val="center"/>
          </w:tcPr>
          <w:p w14:paraId="727FA5DC">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260AE5E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0B22A7D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19D1479">
        <w:tblPrEx>
          <w:tblCellMar>
            <w:top w:w="0" w:type="dxa"/>
            <w:left w:w="108" w:type="dxa"/>
            <w:bottom w:w="0" w:type="dxa"/>
            <w:right w:w="108" w:type="dxa"/>
          </w:tblCellMar>
        </w:tblPrEx>
        <w:trPr>
          <w:trHeight w:val="879"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32135082">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2A0454F5">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66" w:type="dxa"/>
            <w:tcBorders>
              <w:top w:val="nil"/>
              <w:left w:val="nil"/>
              <w:bottom w:val="single" w:color="auto" w:sz="4" w:space="0"/>
              <w:right w:val="single" w:color="auto" w:sz="4" w:space="0"/>
            </w:tcBorders>
            <w:shd w:val="clear" w:color="auto" w:fill="auto"/>
            <w:vAlign w:val="center"/>
          </w:tcPr>
          <w:p w14:paraId="033C0AA8">
            <w:pPr>
              <w:widowControl/>
              <w:jc w:val="center"/>
              <w:rPr>
                <w:rFonts w:hint="eastAsia" w:ascii="宋体" w:hAnsi="宋体" w:cs="宋体"/>
                <w:kern w:val="0"/>
                <w:sz w:val="20"/>
                <w:szCs w:val="20"/>
              </w:rPr>
            </w:pPr>
            <w:r>
              <w:rPr>
                <w:rFonts w:hint="eastAsia" w:ascii="宋体" w:hAnsi="宋体" w:cs="宋体"/>
                <w:kern w:val="0"/>
                <w:sz w:val="20"/>
                <w:szCs w:val="20"/>
              </w:rPr>
              <w:t>50.61</w:t>
            </w:r>
          </w:p>
        </w:tc>
        <w:tc>
          <w:tcPr>
            <w:tcW w:w="970" w:type="dxa"/>
            <w:tcBorders>
              <w:top w:val="nil"/>
              <w:left w:val="nil"/>
              <w:bottom w:val="single" w:color="auto" w:sz="4" w:space="0"/>
              <w:right w:val="single" w:color="auto" w:sz="4" w:space="0"/>
            </w:tcBorders>
            <w:shd w:val="clear" w:color="auto" w:fill="auto"/>
            <w:vAlign w:val="center"/>
          </w:tcPr>
          <w:p w14:paraId="317185BB">
            <w:pPr>
              <w:widowControl/>
              <w:jc w:val="center"/>
              <w:rPr>
                <w:rFonts w:hint="eastAsia" w:ascii="宋体" w:hAnsi="宋体" w:cs="宋体"/>
                <w:kern w:val="0"/>
                <w:sz w:val="20"/>
                <w:szCs w:val="20"/>
              </w:rPr>
            </w:pPr>
            <w:r>
              <w:rPr>
                <w:rFonts w:hint="eastAsia" w:ascii="宋体" w:hAnsi="宋体" w:cs="宋体"/>
                <w:kern w:val="0"/>
                <w:sz w:val="20"/>
                <w:szCs w:val="20"/>
              </w:rPr>
              <w:t>51.08</w:t>
            </w:r>
          </w:p>
        </w:tc>
        <w:tc>
          <w:tcPr>
            <w:tcW w:w="1003" w:type="dxa"/>
            <w:tcBorders>
              <w:top w:val="nil"/>
              <w:left w:val="nil"/>
              <w:bottom w:val="single" w:color="auto" w:sz="4" w:space="0"/>
              <w:right w:val="single" w:color="auto" w:sz="4" w:space="0"/>
            </w:tcBorders>
            <w:shd w:val="clear" w:color="auto" w:fill="auto"/>
            <w:vAlign w:val="center"/>
          </w:tcPr>
          <w:p w14:paraId="6B242156">
            <w:pPr>
              <w:widowControl/>
              <w:jc w:val="center"/>
              <w:rPr>
                <w:rFonts w:hint="eastAsia" w:ascii="宋体" w:hAnsi="宋体" w:cs="宋体"/>
                <w:kern w:val="0"/>
                <w:sz w:val="20"/>
                <w:szCs w:val="20"/>
              </w:rPr>
            </w:pPr>
            <w:r>
              <w:rPr>
                <w:rFonts w:hint="eastAsia" w:ascii="宋体" w:hAnsi="宋体" w:cs="宋体"/>
                <w:kern w:val="0"/>
                <w:sz w:val="20"/>
                <w:szCs w:val="20"/>
              </w:rPr>
              <w:t>51.08</w:t>
            </w:r>
          </w:p>
        </w:tc>
        <w:tc>
          <w:tcPr>
            <w:tcW w:w="796" w:type="dxa"/>
            <w:tcBorders>
              <w:top w:val="nil"/>
              <w:left w:val="nil"/>
              <w:bottom w:val="single" w:color="auto" w:sz="4" w:space="0"/>
              <w:right w:val="single" w:color="auto" w:sz="4" w:space="0"/>
            </w:tcBorders>
            <w:shd w:val="clear" w:color="auto" w:fill="auto"/>
            <w:vAlign w:val="center"/>
          </w:tcPr>
          <w:p w14:paraId="641FDF3E">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15" w:type="dxa"/>
            <w:tcBorders>
              <w:top w:val="nil"/>
              <w:left w:val="nil"/>
              <w:bottom w:val="single" w:color="auto" w:sz="4" w:space="0"/>
              <w:right w:val="single" w:color="auto" w:sz="4" w:space="0"/>
            </w:tcBorders>
            <w:shd w:val="clear" w:color="auto" w:fill="auto"/>
            <w:vAlign w:val="center"/>
          </w:tcPr>
          <w:p w14:paraId="35C4493B">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926" w:type="dxa"/>
            <w:tcBorders>
              <w:top w:val="nil"/>
              <w:left w:val="nil"/>
              <w:bottom w:val="single" w:color="auto" w:sz="4" w:space="0"/>
              <w:right w:val="single" w:color="auto" w:sz="4" w:space="0"/>
            </w:tcBorders>
            <w:shd w:val="clear" w:color="auto" w:fill="auto"/>
            <w:vAlign w:val="center"/>
          </w:tcPr>
          <w:p w14:paraId="463A3200">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BEAB64B">
        <w:tblPrEx>
          <w:tblCellMar>
            <w:top w:w="0" w:type="dxa"/>
            <w:left w:w="108" w:type="dxa"/>
            <w:bottom w:w="0" w:type="dxa"/>
            <w:right w:w="108" w:type="dxa"/>
          </w:tblCellMar>
        </w:tblPrEx>
        <w:trPr>
          <w:trHeight w:val="705" w:hRule="atLeast"/>
          <w:jc w:val="center"/>
        </w:trPr>
        <w:tc>
          <w:tcPr>
            <w:tcW w:w="15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274411">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335" w:type="dxa"/>
            <w:gridSpan w:val="3"/>
            <w:tcBorders>
              <w:top w:val="single" w:color="auto" w:sz="4" w:space="0"/>
              <w:left w:val="nil"/>
              <w:bottom w:val="single" w:color="auto" w:sz="4" w:space="0"/>
              <w:right w:val="single" w:color="auto" w:sz="4" w:space="0"/>
            </w:tcBorders>
            <w:shd w:val="clear" w:color="auto" w:fill="auto"/>
            <w:noWrap/>
            <w:vAlign w:val="center"/>
          </w:tcPr>
          <w:p w14:paraId="776B1F68">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40" w:type="dxa"/>
            <w:gridSpan w:val="4"/>
            <w:tcBorders>
              <w:top w:val="single" w:color="auto" w:sz="4" w:space="0"/>
              <w:left w:val="nil"/>
              <w:bottom w:val="single" w:color="auto" w:sz="4" w:space="0"/>
              <w:right w:val="single" w:color="auto" w:sz="4" w:space="0"/>
            </w:tcBorders>
            <w:shd w:val="clear" w:color="auto" w:fill="auto"/>
            <w:noWrap/>
            <w:vAlign w:val="center"/>
          </w:tcPr>
          <w:p w14:paraId="63A0D3D0">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9978C7F">
        <w:tblPrEx>
          <w:tblCellMar>
            <w:top w:w="0" w:type="dxa"/>
            <w:left w:w="108" w:type="dxa"/>
            <w:bottom w:w="0" w:type="dxa"/>
            <w:right w:w="108" w:type="dxa"/>
          </w:tblCellMar>
        </w:tblPrEx>
        <w:trPr>
          <w:trHeight w:val="2001" w:hRule="atLeast"/>
          <w:jc w:val="center"/>
        </w:trPr>
        <w:tc>
          <w:tcPr>
            <w:tcW w:w="1547" w:type="dxa"/>
            <w:vMerge w:val="continue"/>
            <w:tcBorders>
              <w:top w:val="single" w:color="auto" w:sz="4" w:space="0"/>
              <w:left w:val="single" w:color="auto" w:sz="4" w:space="0"/>
              <w:bottom w:val="single" w:color="auto" w:sz="4" w:space="0"/>
              <w:right w:val="single" w:color="auto" w:sz="4" w:space="0"/>
            </w:tcBorders>
            <w:vAlign w:val="center"/>
          </w:tcPr>
          <w:p w14:paraId="66602C04">
            <w:pPr>
              <w:widowControl/>
              <w:jc w:val="left"/>
              <w:rPr>
                <w:rFonts w:hint="eastAsia" w:ascii="宋体" w:hAnsi="宋体" w:cs="宋体"/>
                <w:kern w:val="0"/>
                <w:sz w:val="20"/>
                <w:szCs w:val="20"/>
              </w:rPr>
            </w:pPr>
          </w:p>
        </w:tc>
        <w:tc>
          <w:tcPr>
            <w:tcW w:w="3335" w:type="dxa"/>
            <w:gridSpan w:val="3"/>
            <w:tcBorders>
              <w:top w:val="single" w:color="auto" w:sz="4" w:space="0"/>
              <w:left w:val="nil"/>
              <w:bottom w:val="single" w:color="auto" w:sz="4" w:space="0"/>
              <w:right w:val="single" w:color="auto" w:sz="4" w:space="0"/>
            </w:tcBorders>
            <w:shd w:val="clear" w:color="auto" w:fill="auto"/>
            <w:vAlign w:val="center"/>
          </w:tcPr>
          <w:p w14:paraId="12858E51">
            <w:pPr>
              <w:widowControl/>
              <w:jc w:val="center"/>
              <w:rPr>
                <w:rFonts w:hint="eastAsia" w:ascii="宋体" w:hAnsi="宋体" w:cs="宋体"/>
                <w:kern w:val="0"/>
                <w:sz w:val="20"/>
                <w:szCs w:val="20"/>
              </w:rPr>
            </w:pPr>
            <w:r>
              <w:rPr>
                <w:rFonts w:hint="eastAsia" w:ascii="宋体" w:hAnsi="宋体" w:cs="宋体"/>
                <w:kern w:val="0"/>
                <w:sz w:val="20"/>
                <w:szCs w:val="20"/>
              </w:rPr>
              <w:t>目标1：做好大浪沙水库的防汛工作，水库日常巡视巡查；目标2：挡水建筑物大坝观测，水库设施的日常维保工作，保障水库的安全运行。</w:t>
            </w:r>
          </w:p>
        </w:tc>
        <w:tc>
          <w:tcPr>
            <w:tcW w:w="3640" w:type="dxa"/>
            <w:gridSpan w:val="4"/>
            <w:tcBorders>
              <w:top w:val="single" w:color="auto" w:sz="4" w:space="0"/>
              <w:left w:val="nil"/>
              <w:bottom w:val="single" w:color="auto" w:sz="4" w:space="0"/>
              <w:right w:val="single" w:color="auto" w:sz="4" w:space="0"/>
            </w:tcBorders>
            <w:shd w:val="clear" w:color="auto" w:fill="auto"/>
            <w:vAlign w:val="center"/>
          </w:tcPr>
          <w:p w14:paraId="28B16C61">
            <w:pPr>
              <w:widowControl/>
              <w:jc w:val="center"/>
              <w:rPr>
                <w:rFonts w:hint="eastAsia" w:ascii="宋体" w:hAnsi="宋体" w:cs="宋体"/>
                <w:kern w:val="0"/>
                <w:sz w:val="20"/>
                <w:szCs w:val="20"/>
              </w:rPr>
            </w:pPr>
            <w:r>
              <w:rPr>
                <w:rFonts w:hint="eastAsia" w:ascii="宋体" w:hAnsi="宋体" w:cs="宋体"/>
                <w:kern w:val="0"/>
                <w:sz w:val="20"/>
                <w:szCs w:val="20"/>
              </w:rPr>
              <w:t>截止部门整体自评，我单位已完成如下工作：保障在职人员人数2人，日常巡查及时率以及居民日常生活供水保障率均达到90%以上。做好了大浪沙水库的防汛工作，水库的日常巡视巡查，水库设施的日常维保工作，保障水库的安全运行。</w:t>
            </w:r>
          </w:p>
        </w:tc>
      </w:tr>
      <w:tr w14:paraId="2F88CB8A">
        <w:tblPrEx>
          <w:tblCellMar>
            <w:top w:w="0" w:type="dxa"/>
            <w:left w:w="108" w:type="dxa"/>
            <w:bottom w:w="0" w:type="dxa"/>
            <w:right w:w="108" w:type="dxa"/>
          </w:tblCellMar>
        </w:tblPrEx>
        <w:trPr>
          <w:trHeight w:val="579"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05F5B404">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9" w:type="dxa"/>
            <w:tcBorders>
              <w:top w:val="nil"/>
              <w:left w:val="nil"/>
              <w:bottom w:val="single" w:color="auto" w:sz="4" w:space="0"/>
              <w:right w:val="single" w:color="auto" w:sz="4" w:space="0"/>
            </w:tcBorders>
            <w:shd w:val="clear" w:color="auto" w:fill="auto"/>
            <w:vAlign w:val="center"/>
          </w:tcPr>
          <w:p w14:paraId="3E07A2B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66" w:type="dxa"/>
            <w:tcBorders>
              <w:top w:val="nil"/>
              <w:left w:val="nil"/>
              <w:bottom w:val="single" w:color="auto" w:sz="4" w:space="0"/>
              <w:right w:val="single" w:color="auto" w:sz="4" w:space="0"/>
            </w:tcBorders>
            <w:shd w:val="clear" w:color="auto" w:fill="auto"/>
            <w:vAlign w:val="center"/>
          </w:tcPr>
          <w:p w14:paraId="45F944B4">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70" w:type="dxa"/>
            <w:tcBorders>
              <w:top w:val="nil"/>
              <w:left w:val="nil"/>
              <w:bottom w:val="single" w:color="auto" w:sz="4" w:space="0"/>
              <w:right w:val="single" w:color="auto" w:sz="4" w:space="0"/>
            </w:tcBorders>
            <w:shd w:val="clear" w:color="auto" w:fill="auto"/>
            <w:vAlign w:val="center"/>
          </w:tcPr>
          <w:p w14:paraId="06CD9685">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003" w:type="dxa"/>
            <w:tcBorders>
              <w:top w:val="nil"/>
              <w:left w:val="nil"/>
              <w:bottom w:val="single" w:color="auto" w:sz="4" w:space="0"/>
              <w:right w:val="single" w:color="auto" w:sz="4" w:space="0"/>
            </w:tcBorders>
            <w:shd w:val="clear" w:color="auto" w:fill="auto"/>
            <w:vAlign w:val="center"/>
          </w:tcPr>
          <w:p w14:paraId="181419BA">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796" w:type="dxa"/>
            <w:tcBorders>
              <w:top w:val="nil"/>
              <w:left w:val="nil"/>
              <w:bottom w:val="single" w:color="auto" w:sz="4" w:space="0"/>
              <w:right w:val="single" w:color="auto" w:sz="4" w:space="0"/>
            </w:tcBorders>
            <w:shd w:val="clear" w:color="auto" w:fill="auto"/>
            <w:vAlign w:val="center"/>
          </w:tcPr>
          <w:p w14:paraId="562BAAE4">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915" w:type="dxa"/>
            <w:tcBorders>
              <w:top w:val="nil"/>
              <w:left w:val="nil"/>
              <w:bottom w:val="single" w:color="auto" w:sz="4" w:space="0"/>
              <w:right w:val="single" w:color="auto" w:sz="4" w:space="0"/>
            </w:tcBorders>
            <w:shd w:val="clear" w:color="auto" w:fill="auto"/>
            <w:vAlign w:val="center"/>
          </w:tcPr>
          <w:p w14:paraId="6447E11D">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926" w:type="dxa"/>
            <w:tcBorders>
              <w:top w:val="nil"/>
              <w:left w:val="nil"/>
              <w:bottom w:val="single" w:color="auto" w:sz="4" w:space="0"/>
              <w:right w:val="single" w:color="auto" w:sz="4" w:space="0"/>
            </w:tcBorders>
            <w:shd w:val="clear" w:color="auto" w:fill="auto"/>
            <w:vAlign w:val="center"/>
          </w:tcPr>
          <w:p w14:paraId="34941224">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92F8607">
        <w:tblPrEx>
          <w:tblCellMar>
            <w:top w:w="0" w:type="dxa"/>
            <w:left w:w="108" w:type="dxa"/>
            <w:bottom w:w="0" w:type="dxa"/>
            <w:right w:w="108" w:type="dxa"/>
          </w:tblCellMar>
        </w:tblPrEx>
        <w:trPr>
          <w:trHeight w:val="741"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2DF54C85">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9" w:type="dxa"/>
            <w:tcBorders>
              <w:top w:val="nil"/>
              <w:left w:val="nil"/>
              <w:bottom w:val="single" w:color="auto" w:sz="4" w:space="0"/>
              <w:right w:val="single" w:color="auto" w:sz="4" w:space="0"/>
            </w:tcBorders>
            <w:shd w:val="clear" w:color="auto" w:fill="auto"/>
            <w:vAlign w:val="center"/>
          </w:tcPr>
          <w:p w14:paraId="3685468F">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66" w:type="dxa"/>
            <w:tcBorders>
              <w:top w:val="nil"/>
              <w:left w:val="nil"/>
              <w:bottom w:val="single" w:color="auto" w:sz="4" w:space="0"/>
              <w:right w:val="single" w:color="auto" w:sz="4" w:space="0"/>
            </w:tcBorders>
            <w:shd w:val="clear" w:color="auto" w:fill="auto"/>
            <w:vAlign w:val="center"/>
          </w:tcPr>
          <w:p w14:paraId="31F0B74A">
            <w:pPr>
              <w:widowControl/>
              <w:jc w:val="center"/>
              <w:rPr>
                <w:rFonts w:hint="eastAsia" w:ascii="宋体" w:hAnsi="宋体" w:cs="宋体"/>
                <w:kern w:val="0"/>
                <w:sz w:val="20"/>
                <w:szCs w:val="20"/>
              </w:rPr>
            </w:pPr>
            <w:r>
              <w:rPr>
                <w:rFonts w:hint="eastAsia" w:ascii="宋体" w:hAnsi="宋体" w:cs="宋体"/>
                <w:kern w:val="0"/>
                <w:sz w:val="20"/>
                <w:szCs w:val="20"/>
              </w:rPr>
              <w:t>保障在职人员人数</w:t>
            </w:r>
          </w:p>
        </w:tc>
        <w:tc>
          <w:tcPr>
            <w:tcW w:w="970" w:type="dxa"/>
            <w:tcBorders>
              <w:top w:val="nil"/>
              <w:left w:val="nil"/>
              <w:bottom w:val="single" w:color="auto" w:sz="4" w:space="0"/>
              <w:right w:val="single" w:color="auto" w:sz="4" w:space="0"/>
            </w:tcBorders>
            <w:shd w:val="clear" w:color="auto" w:fill="auto"/>
            <w:vAlign w:val="center"/>
          </w:tcPr>
          <w:p w14:paraId="7AB45577">
            <w:pPr>
              <w:widowControl/>
              <w:jc w:val="center"/>
              <w:rPr>
                <w:rFonts w:hint="eastAsia" w:ascii="宋体" w:hAnsi="宋体" w:cs="宋体"/>
                <w:kern w:val="0"/>
                <w:sz w:val="20"/>
                <w:szCs w:val="20"/>
              </w:rPr>
            </w:pPr>
            <w:r>
              <w:rPr>
                <w:rFonts w:hint="eastAsia" w:ascii="宋体" w:hAnsi="宋体" w:cs="宋体"/>
                <w:kern w:val="0"/>
                <w:sz w:val="20"/>
                <w:szCs w:val="20"/>
              </w:rPr>
              <w:t>&gt;=2人</w:t>
            </w:r>
          </w:p>
        </w:tc>
        <w:tc>
          <w:tcPr>
            <w:tcW w:w="1003" w:type="dxa"/>
            <w:tcBorders>
              <w:top w:val="nil"/>
              <w:left w:val="nil"/>
              <w:bottom w:val="single" w:color="auto" w:sz="4" w:space="0"/>
              <w:right w:val="single" w:color="auto" w:sz="4" w:space="0"/>
            </w:tcBorders>
            <w:shd w:val="clear" w:color="auto" w:fill="auto"/>
            <w:vAlign w:val="center"/>
          </w:tcPr>
          <w:p w14:paraId="733FB049">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  木垒县人民政府办公室关于印发《木垒哈萨克自治县水利局职能配置、内设机构和人员编制规定》的通知</w:t>
            </w:r>
          </w:p>
        </w:tc>
        <w:tc>
          <w:tcPr>
            <w:tcW w:w="796" w:type="dxa"/>
            <w:tcBorders>
              <w:top w:val="nil"/>
              <w:left w:val="nil"/>
              <w:bottom w:val="single" w:color="auto" w:sz="4" w:space="0"/>
              <w:right w:val="single" w:color="auto" w:sz="4" w:space="0"/>
            </w:tcBorders>
            <w:shd w:val="clear" w:color="auto" w:fill="auto"/>
            <w:vAlign w:val="center"/>
          </w:tcPr>
          <w:p w14:paraId="6D5ADCAC">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915" w:type="dxa"/>
            <w:tcBorders>
              <w:top w:val="nil"/>
              <w:left w:val="nil"/>
              <w:bottom w:val="single" w:color="auto" w:sz="4" w:space="0"/>
              <w:right w:val="single" w:color="auto" w:sz="4" w:space="0"/>
            </w:tcBorders>
            <w:shd w:val="clear" w:color="auto" w:fill="auto"/>
            <w:vAlign w:val="center"/>
          </w:tcPr>
          <w:p w14:paraId="51D0B1F0">
            <w:pPr>
              <w:widowControl/>
              <w:jc w:val="center"/>
              <w:rPr>
                <w:rFonts w:hint="eastAsia" w:ascii="宋体" w:hAnsi="宋体" w:cs="宋体"/>
                <w:kern w:val="0"/>
                <w:sz w:val="20"/>
                <w:szCs w:val="20"/>
              </w:rPr>
            </w:pPr>
            <w:r>
              <w:rPr>
                <w:rFonts w:hint="eastAsia" w:ascii="宋体" w:hAnsi="宋体" w:cs="宋体"/>
                <w:kern w:val="0"/>
                <w:sz w:val="20"/>
                <w:szCs w:val="20"/>
              </w:rPr>
              <w:t>2人</w:t>
            </w:r>
          </w:p>
        </w:tc>
        <w:tc>
          <w:tcPr>
            <w:tcW w:w="926" w:type="dxa"/>
            <w:tcBorders>
              <w:top w:val="nil"/>
              <w:left w:val="nil"/>
              <w:bottom w:val="single" w:color="auto" w:sz="4" w:space="0"/>
              <w:right w:val="single" w:color="auto" w:sz="4" w:space="0"/>
            </w:tcBorders>
            <w:shd w:val="clear" w:color="auto" w:fill="auto"/>
            <w:vAlign w:val="center"/>
          </w:tcPr>
          <w:p w14:paraId="4E471CFA">
            <w:pPr>
              <w:widowControl/>
              <w:jc w:val="center"/>
              <w:rPr>
                <w:rFonts w:hint="eastAsia" w:ascii="宋体" w:hAnsi="宋体" w:cs="宋体"/>
                <w:kern w:val="0"/>
                <w:sz w:val="20"/>
                <w:szCs w:val="20"/>
              </w:rPr>
            </w:pPr>
            <w:r>
              <w:rPr>
                <w:rFonts w:hint="eastAsia" w:ascii="宋体" w:hAnsi="宋体" w:cs="宋体"/>
                <w:kern w:val="0"/>
                <w:sz w:val="20"/>
                <w:szCs w:val="20"/>
              </w:rPr>
              <w:t>5</w:t>
            </w:r>
          </w:p>
        </w:tc>
      </w:tr>
      <w:tr w14:paraId="29A862A0">
        <w:tblPrEx>
          <w:tblCellMar>
            <w:top w:w="0" w:type="dxa"/>
            <w:left w:w="108" w:type="dxa"/>
            <w:bottom w:w="0" w:type="dxa"/>
            <w:right w:w="108" w:type="dxa"/>
          </w:tblCellMar>
        </w:tblPrEx>
        <w:trPr>
          <w:trHeight w:val="741"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4F3580E6">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9" w:type="dxa"/>
            <w:tcBorders>
              <w:top w:val="nil"/>
              <w:left w:val="nil"/>
              <w:bottom w:val="single" w:color="auto" w:sz="4" w:space="0"/>
              <w:right w:val="single" w:color="auto" w:sz="4" w:space="0"/>
            </w:tcBorders>
            <w:shd w:val="clear" w:color="auto" w:fill="auto"/>
            <w:vAlign w:val="center"/>
          </w:tcPr>
          <w:p w14:paraId="529EE6E6">
            <w:pPr>
              <w:widowControl/>
              <w:jc w:val="center"/>
              <w:rPr>
                <w:rFonts w:hint="eastAsia" w:ascii="宋体" w:hAnsi="宋体" w:cs="宋体"/>
                <w:kern w:val="0"/>
                <w:sz w:val="20"/>
                <w:szCs w:val="20"/>
              </w:rPr>
            </w:pPr>
            <w:r>
              <w:rPr>
                <w:rFonts w:hint="eastAsia" w:ascii="宋体" w:hAnsi="宋体" w:cs="宋体"/>
                <w:kern w:val="0"/>
                <w:sz w:val="20"/>
                <w:szCs w:val="20"/>
              </w:rPr>
              <w:t>时效指标</w:t>
            </w:r>
          </w:p>
        </w:tc>
        <w:tc>
          <w:tcPr>
            <w:tcW w:w="1166" w:type="dxa"/>
            <w:tcBorders>
              <w:top w:val="nil"/>
              <w:left w:val="nil"/>
              <w:bottom w:val="single" w:color="auto" w:sz="4" w:space="0"/>
              <w:right w:val="single" w:color="auto" w:sz="4" w:space="0"/>
            </w:tcBorders>
            <w:shd w:val="clear" w:color="auto" w:fill="auto"/>
            <w:vAlign w:val="center"/>
          </w:tcPr>
          <w:p w14:paraId="350CDC3F">
            <w:pPr>
              <w:widowControl/>
              <w:jc w:val="center"/>
              <w:rPr>
                <w:rFonts w:hint="eastAsia" w:ascii="宋体" w:hAnsi="宋体" w:cs="宋体"/>
                <w:kern w:val="0"/>
                <w:sz w:val="20"/>
                <w:szCs w:val="20"/>
              </w:rPr>
            </w:pPr>
            <w:r>
              <w:rPr>
                <w:rFonts w:hint="eastAsia" w:ascii="宋体" w:hAnsi="宋体" w:cs="宋体"/>
                <w:kern w:val="0"/>
                <w:sz w:val="20"/>
                <w:szCs w:val="20"/>
              </w:rPr>
              <w:t>日常巡查及时率</w:t>
            </w:r>
          </w:p>
        </w:tc>
        <w:tc>
          <w:tcPr>
            <w:tcW w:w="970" w:type="dxa"/>
            <w:tcBorders>
              <w:top w:val="nil"/>
              <w:left w:val="nil"/>
              <w:bottom w:val="single" w:color="auto" w:sz="4" w:space="0"/>
              <w:right w:val="single" w:color="auto" w:sz="4" w:space="0"/>
            </w:tcBorders>
            <w:shd w:val="clear" w:color="auto" w:fill="auto"/>
            <w:vAlign w:val="center"/>
          </w:tcPr>
          <w:p w14:paraId="496A3CCB">
            <w:pPr>
              <w:widowControl/>
              <w:jc w:val="center"/>
              <w:rPr>
                <w:rFonts w:hint="eastAsia" w:ascii="宋体" w:hAnsi="宋体" w:cs="宋体"/>
                <w:kern w:val="0"/>
                <w:sz w:val="20"/>
                <w:szCs w:val="20"/>
              </w:rPr>
            </w:pPr>
            <w:r>
              <w:rPr>
                <w:rFonts w:hint="eastAsia" w:ascii="宋体" w:hAnsi="宋体" w:cs="宋体"/>
                <w:kern w:val="0"/>
                <w:sz w:val="20"/>
                <w:szCs w:val="20"/>
              </w:rPr>
              <w:t>&gt;=95%</w:t>
            </w:r>
          </w:p>
        </w:tc>
        <w:tc>
          <w:tcPr>
            <w:tcW w:w="1003" w:type="dxa"/>
            <w:tcBorders>
              <w:top w:val="nil"/>
              <w:left w:val="nil"/>
              <w:bottom w:val="single" w:color="auto" w:sz="4" w:space="0"/>
              <w:right w:val="single" w:color="auto" w:sz="4" w:space="0"/>
            </w:tcBorders>
            <w:shd w:val="clear" w:color="auto" w:fill="auto"/>
            <w:vAlign w:val="center"/>
          </w:tcPr>
          <w:p w14:paraId="0BAB24C5">
            <w:pPr>
              <w:widowControl/>
              <w:jc w:val="center"/>
              <w:rPr>
                <w:rFonts w:hint="eastAsia" w:ascii="宋体" w:hAnsi="宋体" w:cs="宋体"/>
                <w:kern w:val="0"/>
                <w:sz w:val="20"/>
                <w:szCs w:val="20"/>
              </w:rPr>
            </w:pPr>
            <w:r>
              <w:rPr>
                <w:rFonts w:hint="eastAsia" w:ascii="宋体" w:hAnsi="宋体" w:cs="宋体"/>
                <w:kern w:val="0"/>
                <w:sz w:val="20"/>
                <w:szCs w:val="20"/>
              </w:rPr>
              <w:t>木垒县大浪沙水库建设管理处2023年工作计划</w:t>
            </w:r>
          </w:p>
        </w:tc>
        <w:tc>
          <w:tcPr>
            <w:tcW w:w="796" w:type="dxa"/>
            <w:tcBorders>
              <w:top w:val="nil"/>
              <w:left w:val="nil"/>
              <w:bottom w:val="single" w:color="auto" w:sz="4" w:space="0"/>
              <w:right w:val="single" w:color="auto" w:sz="4" w:space="0"/>
            </w:tcBorders>
            <w:shd w:val="clear" w:color="auto" w:fill="auto"/>
            <w:vAlign w:val="center"/>
          </w:tcPr>
          <w:p w14:paraId="3FAE580F">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15" w:type="dxa"/>
            <w:tcBorders>
              <w:top w:val="nil"/>
              <w:left w:val="nil"/>
              <w:bottom w:val="single" w:color="auto" w:sz="4" w:space="0"/>
              <w:right w:val="single" w:color="auto" w:sz="4" w:space="0"/>
            </w:tcBorders>
            <w:shd w:val="clear" w:color="auto" w:fill="auto"/>
            <w:vAlign w:val="center"/>
          </w:tcPr>
          <w:p w14:paraId="1E74FDA9">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926" w:type="dxa"/>
            <w:tcBorders>
              <w:top w:val="nil"/>
              <w:left w:val="nil"/>
              <w:bottom w:val="single" w:color="auto" w:sz="4" w:space="0"/>
              <w:right w:val="single" w:color="auto" w:sz="4" w:space="0"/>
            </w:tcBorders>
            <w:shd w:val="clear" w:color="auto" w:fill="auto"/>
            <w:vAlign w:val="center"/>
          </w:tcPr>
          <w:p w14:paraId="0933F771">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2EC4F4A">
        <w:tblPrEx>
          <w:tblCellMar>
            <w:top w:w="0" w:type="dxa"/>
            <w:left w:w="108" w:type="dxa"/>
            <w:bottom w:w="0" w:type="dxa"/>
            <w:right w:w="108" w:type="dxa"/>
          </w:tblCellMar>
        </w:tblPrEx>
        <w:trPr>
          <w:trHeight w:val="741"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3BDC4CEC">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9" w:type="dxa"/>
            <w:tcBorders>
              <w:top w:val="nil"/>
              <w:left w:val="nil"/>
              <w:bottom w:val="single" w:color="auto" w:sz="4" w:space="0"/>
              <w:right w:val="single" w:color="auto" w:sz="4" w:space="0"/>
            </w:tcBorders>
            <w:shd w:val="clear" w:color="auto" w:fill="auto"/>
            <w:vAlign w:val="center"/>
          </w:tcPr>
          <w:p w14:paraId="0D7FC770">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166" w:type="dxa"/>
            <w:tcBorders>
              <w:top w:val="nil"/>
              <w:left w:val="nil"/>
              <w:bottom w:val="single" w:color="auto" w:sz="4" w:space="0"/>
              <w:right w:val="single" w:color="auto" w:sz="4" w:space="0"/>
            </w:tcBorders>
            <w:shd w:val="clear" w:color="auto" w:fill="auto"/>
            <w:vAlign w:val="center"/>
          </w:tcPr>
          <w:p w14:paraId="7A12D506">
            <w:pPr>
              <w:widowControl/>
              <w:jc w:val="center"/>
              <w:rPr>
                <w:rFonts w:hint="eastAsia" w:ascii="宋体" w:hAnsi="宋体" w:cs="宋体"/>
                <w:kern w:val="0"/>
                <w:sz w:val="20"/>
                <w:szCs w:val="20"/>
              </w:rPr>
            </w:pPr>
            <w:r>
              <w:rPr>
                <w:rFonts w:hint="eastAsia" w:ascii="宋体" w:hAnsi="宋体" w:cs="宋体"/>
                <w:kern w:val="0"/>
                <w:sz w:val="20"/>
                <w:szCs w:val="20"/>
              </w:rPr>
              <w:t>水库正常运行率</w:t>
            </w:r>
          </w:p>
        </w:tc>
        <w:tc>
          <w:tcPr>
            <w:tcW w:w="970" w:type="dxa"/>
            <w:tcBorders>
              <w:top w:val="nil"/>
              <w:left w:val="nil"/>
              <w:bottom w:val="single" w:color="auto" w:sz="4" w:space="0"/>
              <w:right w:val="single" w:color="auto" w:sz="4" w:space="0"/>
            </w:tcBorders>
            <w:shd w:val="clear" w:color="auto" w:fill="auto"/>
            <w:vAlign w:val="center"/>
          </w:tcPr>
          <w:p w14:paraId="3F833001">
            <w:pPr>
              <w:widowControl/>
              <w:jc w:val="center"/>
              <w:rPr>
                <w:rFonts w:hint="eastAsia" w:ascii="宋体" w:hAnsi="宋体" w:cs="宋体"/>
                <w:kern w:val="0"/>
                <w:sz w:val="20"/>
                <w:szCs w:val="20"/>
              </w:rPr>
            </w:pPr>
            <w:r>
              <w:rPr>
                <w:rFonts w:hint="eastAsia" w:ascii="宋体" w:hAnsi="宋体" w:cs="宋体"/>
                <w:kern w:val="0"/>
                <w:sz w:val="20"/>
                <w:szCs w:val="20"/>
              </w:rPr>
              <w:t>&gt;=90%</w:t>
            </w:r>
          </w:p>
        </w:tc>
        <w:tc>
          <w:tcPr>
            <w:tcW w:w="1003" w:type="dxa"/>
            <w:tcBorders>
              <w:top w:val="nil"/>
              <w:left w:val="nil"/>
              <w:bottom w:val="single" w:color="auto" w:sz="4" w:space="0"/>
              <w:right w:val="single" w:color="auto" w:sz="4" w:space="0"/>
            </w:tcBorders>
            <w:shd w:val="clear" w:color="auto" w:fill="auto"/>
            <w:vAlign w:val="center"/>
          </w:tcPr>
          <w:p w14:paraId="26D574B3">
            <w:pPr>
              <w:widowControl/>
              <w:jc w:val="center"/>
              <w:rPr>
                <w:rFonts w:hint="eastAsia" w:ascii="宋体" w:hAnsi="宋体" w:cs="宋体"/>
                <w:kern w:val="0"/>
                <w:sz w:val="20"/>
                <w:szCs w:val="20"/>
              </w:rPr>
            </w:pPr>
            <w:r>
              <w:rPr>
                <w:rFonts w:hint="eastAsia" w:ascii="宋体" w:hAnsi="宋体" w:cs="宋体"/>
                <w:kern w:val="0"/>
                <w:sz w:val="20"/>
                <w:szCs w:val="20"/>
              </w:rPr>
              <w:t>木垒县大浪沙水库建设管理处2023年工作计划</w:t>
            </w:r>
          </w:p>
        </w:tc>
        <w:tc>
          <w:tcPr>
            <w:tcW w:w="796" w:type="dxa"/>
            <w:tcBorders>
              <w:top w:val="nil"/>
              <w:left w:val="nil"/>
              <w:bottom w:val="single" w:color="auto" w:sz="4" w:space="0"/>
              <w:right w:val="single" w:color="auto" w:sz="4" w:space="0"/>
            </w:tcBorders>
            <w:shd w:val="clear" w:color="auto" w:fill="auto"/>
            <w:vAlign w:val="center"/>
          </w:tcPr>
          <w:p w14:paraId="65EAC4CD">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15" w:type="dxa"/>
            <w:tcBorders>
              <w:top w:val="nil"/>
              <w:left w:val="nil"/>
              <w:bottom w:val="single" w:color="auto" w:sz="4" w:space="0"/>
              <w:right w:val="single" w:color="auto" w:sz="4" w:space="0"/>
            </w:tcBorders>
            <w:shd w:val="clear" w:color="auto" w:fill="auto"/>
            <w:vAlign w:val="center"/>
          </w:tcPr>
          <w:p w14:paraId="7A8CDB23">
            <w:pPr>
              <w:widowControl/>
              <w:jc w:val="center"/>
              <w:rPr>
                <w:rFonts w:hint="eastAsia" w:ascii="宋体" w:hAnsi="宋体" w:cs="宋体"/>
                <w:kern w:val="0"/>
                <w:sz w:val="20"/>
                <w:szCs w:val="20"/>
              </w:rPr>
            </w:pPr>
            <w:r>
              <w:rPr>
                <w:rFonts w:hint="eastAsia" w:ascii="宋体" w:hAnsi="宋体" w:cs="宋体"/>
                <w:kern w:val="0"/>
                <w:sz w:val="20"/>
                <w:szCs w:val="20"/>
              </w:rPr>
              <w:t>95%</w:t>
            </w:r>
          </w:p>
        </w:tc>
        <w:tc>
          <w:tcPr>
            <w:tcW w:w="926" w:type="dxa"/>
            <w:tcBorders>
              <w:top w:val="nil"/>
              <w:left w:val="nil"/>
              <w:bottom w:val="single" w:color="auto" w:sz="4" w:space="0"/>
              <w:right w:val="single" w:color="auto" w:sz="4" w:space="0"/>
            </w:tcBorders>
            <w:shd w:val="clear" w:color="auto" w:fill="auto"/>
            <w:vAlign w:val="center"/>
          </w:tcPr>
          <w:p w14:paraId="08BFD8C9">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45CA65BF">
        <w:tblPrEx>
          <w:tblCellMar>
            <w:top w:w="0" w:type="dxa"/>
            <w:left w:w="108" w:type="dxa"/>
            <w:bottom w:w="0" w:type="dxa"/>
            <w:right w:w="108" w:type="dxa"/>
          </w:tblCellMar>
        </w:tblPrEx>
        <w:trPr>
          <w:trHeight w:val="741"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7EAAB387">
            <w:pPr>
              <w:widowControl/>
              <w:jc w:val="center"/>
              <w:rPr>
                <w:rFonts w:hint="eastAsia" w:ascii="宋体" w:hAnsi="宋体" w:cs="宋体"/>
                <w:kern w:val="0"/>
                <w:sz w:val="20"/>
                <w:szCs w:val="20"/>
              </w:rPr>
            </w:pPr>
            <w:r>
              <w:rPr>
                <w:rFonts w:hint="eastAsia" w:ascii="宋体" w:hAnsi="宋体" w:cs="宋体"/>
                <w:kern w:val="0"/>
                <w:sz w:val="20"/>
                <w:szCs w:val="20"/>
              </w:rPr>
              <w:t>社会效益</w:t>
            </w:r>
          </w:p>
        </w:tc>
        <w:tc>
          <w:tcPr>
            <w:tcW w:w="1199" w:type="dxa"/>
            <w:tcBorders>
              <w:top w:val="nil"/>
              <w:left w:val="nil"/>
              <w:bottom w:val="single" w:color="auto" w:sz="4" w:space="0"/>
              <w:right w:val="single" w:color="auto" w:sz="4" w:space="0"/>
            </w:tcBorders>
            <w:shd w:val="clear" w:color="auto" w:fill="auto"/>
            <w:vAlign w:val="center"/>
          </w:tcPr>
          <w:p w14:paraId="75B64697">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66" w:type="dxa"/>
            <w:tcBorders>
              <w:top w:val="nil"/>
              <w:left w:val="nil"/>
              <w:bottom w:val="single" w:color="auto" w:sz="4" w:space="0"/>
              <w:right w:val="single" w:color="auto" w:sz="4" w:space="0"/>
            </w:tcBorders>
            <w:shd w:val="clear" w:color="auto" w:fill="auto"/>
            <w:vAlign w:val="center"/>
          </w:tcPr>
          <w:p w14:paraId="6CBEF521">
            <w:pPr>
              <w:widowControl/>
              <w:jc w:val="center"/>
              <w:rPr>
                <w:rFonts w:hint="eastAsia" w:ascii="宋体" w:hAnsi="宋体" w:cs="宋体"/>
                <w:kern w:val="0"/>
                <w:sz w:val="20"/>
                <w:szCs w:val="20"/>
              </w:rPr>
            </w:pPr>
            <w:r>
              <w:rPr>
                <w:rFonts w:hint="eastAsia" w:ascii="宋体" w:hAnsi="宋体" w:cs="宋体"/>
                <w:kern w:val="0"/>
                <w:sz w:val="20"/>
                <w:szCs w:val="20"/>
              </w:rPr>
              <w:t>水库设施维保次数（每年）</w:t>
            </w:r>
          </w:p>
        </w:tc>
        <w:tc>
          <w:tcPr>
            <w:tcW w:w="970" w:type="dxa"/>
            <w:tcBorders>
              <w:top w:val="nil"/>
              <w:left w:val="nil"/>
              <w:bottom w:val="single" w:color="auto" w:sz="4" w:space="0"/>
              <w:right w:val="single" w:color="auto" w:sz="4" w:space="0"/>
            </w:tcBorders>
            <w:shd w:val="clear" w:color="auto" w:fill="auto"/>
            <w:vAlign w:val="center"/>
          </w:tcPr>
          <w:p w14:paraId="74CEF0F1">
            <w:pPr>
              <w:widowControl/>
              <w:jc w:val="center"/>
              <w:rPr>
                <w:rFonts w:hint="eastAsia" w:ascii="宋体" w:hAnsi="宋体" w:cs="宋体"/>
                <w:kern w:val="0"/>
                <w:sz w:val="20"/>
                <w:szCs w:val="20"/>
              </w:rPr>
            </w:pPr>
            <w:r>
              <w:rPr>
                <w:rFonts w:hint="eastAsia" w:ascii="宋体" w:hAnsi="宋体" w:cs="宋体"/>
                <w:kern w:val="0"/>
                <w:sz w:val="20"/>
                <w:szCs w:val="20"/>
              </w:rPr>
              <w:t>&gt;=1次</w:t>
            </w:r>
          </w:p>
        </w:tc>
        <w:tc>
          <w:tcPr>
            <w:tcW w:w="1003" w:type="dxa"/>
            <w:tcBorders>
              <w:top w:val="nil"/>
              <w:left w:val="nil"/>
              <w:bottom w:val="single" w:color="auto" w:sz="4" w:space="0"/>
              <w:right w:val="single" w:color="auto" w:sz="4" w:space="0"/>
            </w:tcBorders>
            <w:shd w:val="clear" w:color="auto" w:fill="auto"/>
            <w:vAlign w:val="center"/>
          </w:tcPr>
          <w:p w14:paraId="41FE346D">
            <w:pPr>
              <w:widowControl/>
              <w:jc w:val="center"/>
              <w:rPr>
                <w:rFonts w:hint="eastAsia" w:ascii="宋体" w:hAnsi="宋体" w:cs="宋体"/>
                <w:kern w:val="0"/>
                <w:sz w:val="20"/>
                <w:szCs w:val="20"/>
              </w:rPr>
            </w:pPr>
            <w:r>
              <w:rPr>
                <w:rFonts w:hint="eastAsia" w:ascii="宋体" w:hAnsi="宋体" w:cs="宋体"/>
                <w:kern w:val="0"/>
                <w:sz w:val="20"/>
                <w:szCs w:val="20"/>
              </w:rPr>
              <w:t>木垒县大浪沙水库建设管理处2023年工作计划</w:t>
            </w:r>
          </w:p>
        </w:tc>
        <w:tc>
          <w:tcPr>
            <w:tcW w:w="796" w:type="dxa"/>
            <w:tcBorders>
              <w:top w:val="nil"/>
              <w:left w:val="nil"/>
              <w:bottom w:val="single" w:color="auto" w:sz="4" w:space="0"/>
              <w:right w:val="single" w:color="auto" w:sz="4" w:space="0"/>
            </w:tcBorders>
            <w:shd w:val="clear" w:color="auto" w:fill="auto"/>
            <w:vAlign w:val="center"/>
          </w:tcPr>
          <w:p w14:paraId="502E2292">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915" w:type="dxa"/>
            <w:tcBorders>
              <w:top w:val="nil"/>
              <w:left w:val="nil"/>
              <w:bottom w:val="single" w:color="auto" w:sz="4" w:space="0"/>
              <w:right w:val="single" w:color="auto" w:sz="4" w:space="0"/>
            </w:tcBorders>
            <w:shd w:val="clear" w:color="auto" w:fill="auto"/>
            <w:vAlign w:val="center"/>
          </w:tcPr>
          <w:p w14:paraId="14F1273D">
            <w:pPr>
              <w:widowControl/>
              <w:jc w:val="center"/>
              <w:rPr>
                <w:rFonts w:hint="eastAsia" w:ascii="宋体" w:hAnsi="宋体" w:cs="宋体"/>
                <w:kern w:val="0"/>
                <w:sz w:val="20"/>
                <w:szCs w:val="20"/>
              </w:rPr>
            </w:pPr>
            <w:r>
              <w:rPr>
                <w:rFonts w:hint="eastAsia" w:ascii="宋体" w:hAnsi="宋体" w:cs="宋体"/>
                <w:kern w:val="0"/>
                <w:sz w:val="20"/>
                <w:szCs w:val="20"/>
              </w:rPr>
              <w:t>1次</w:t>
            </w:r>
          </w:p>
        </w:tc>
        <w:tc>
          <w:tcPr>
            <w:tcW w:w="926" w:type="dxa"/>
            <w:tcBorders>
              <w:top w:val="nil"/>
              <w:left w:val="nil"/>
              <w:bottom w:val="single" w:color="auto" w:sz="4" w:space="0"/>
              <w:right w:val="single" w:color="auto" w:sz="4" w:space="0"/>
            </w:tcBorders>
            <w:shd w:val="clear" w:color="auto" w:fill="auto"/>
            <w:vAlign w:val="center"/>
          </w:tcPr>
          <w:p w14:paraId="027B0DBB">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5B1E4E2F">
        <w:tblPrEx>
          <w:tblCellMar>
            <w:top w:w="0" w:type="dxa"/>
            <w:left w:w="108" w:type="dxa"/>
            <w:bottom w:w="0" w:type="dxa"/>
            <w:right w:w="108" w:type="dxa"/>
          </w:tblCellMar>
        </w:tblPrEx>
        <w:trPr>
          <w:trHeight w:val="741"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00AE2DAE">
            <w:pPr>
              <w:widowControl/>
              <w:jc w:val="center"/>
              <w:rPr>
                <w:rFonts w:hint="eastAsia" w:ascii="宋体" w:hAnsi="宋体" w:cs="宋体"/>
                <w:kern w:val="0"/>
                <w:sz w:val="20"/>
                <w:szCs w:val="20"/>
              </w:rPr>
            </w:pPr>
            <w:r>
              <w:rPr>
                <w:rFonts w:hint="eastAsia" w:ascii="宋体" w:hAnsi="宋体" w:cs="宋体"/>
                <w:kern w:val="0"/>
                <w:sz w:val="20"/>
                <w:szCs w:val="20"/>
              </w:rPr>
              <w:t>可持续发展能力</w:t>
            </w:r>
          </w:p>
        </w:tc>
        <w:tc>
          <w:tcPr>
            <w:tcW w:w="1199" w:type="dxa"/>
            <w:vMerge w:val="restart"/>
            <w:tcBorders>
              <w:top w:val="nil"/>
              <w:left w:val="single" w:color="auto" w:sz="4" w:space="0"/>
              <w:bottom w:val="single" w:color="auto" w:sz="4" w:space="0"/>
              <w:right w:val="single" w:color="auto" w:sz="4" w:space="0"/>
            </w:tcBorders>
            <w:shd w:val="clear" w:color="auto" w:fill="auto"/>
            <w:vAlign w:val="center"/>
          </w:tcPr>
          <w:p w14:paraId="351B15CC">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166" w:type="dxa"/>
            <w:tcBorders>
              <w:top w:val="nil"/>
              <w:left w:val="nil"/>
              <w:bottom w:val="single" w:color="auto" w:sz="4" w:space="0"/>
              <w:right w:val="single" w:color="auto" w:sz="4" w:space="0"/>
            </w:tcBorders>
            <w:shd w:val="clear" w:color="auto" w:fill="auto"/>
            <w:vAlign w:val="center"/>
          </w:tcPr>
          <w:p w14:paraId="6B2005AE">
            <w:pPr>
              <w:widowControl/>
              <w:jc w:val="center"/>
              <w:rPr>
                <w:rFonts w:hint="eastAsia" w:ascii="宋体" w:hAnsi="宋体" w:cs="宋体"/>
                <w:kern w:val="0"/>
                <w:sz w:val="20"/>
                <w:szCs w:val="20"/>
              </w:rPr>
            </w:pPr>
            <w:r>
              <w:rPr>
                <w:rFonts w:hint="eastAsia" w:ascii="宋体" w:hAnsi="宋体" w:cs="宋体"/>
                <w:kern w:val="0"/>
                <w:sz w:val="20"/>
                <w:szCs w:val="20"/>
              </w:rPr>
              <w:t>下游牲畜饮用水保障率</w:t>
            </w:r>
          </w:p>
        </w:tc>
        <w:tc>
          <w:tcPr>
            <w:tcW w:w="970" w:type="dxa"/>
            <w:tcBorders>
              <w:top w:val="nil"/>
              <w:left w:val="nil"/>
              <w:bottom w:val="single" w:color="auto" w:sz="4" w:space="0"/>
              <w:right w:val="single" w:color="auto" w:sz="4" w:space="0"/>
            </w:tcBorders>
            <w:shd w:val="clear" w:color="auto" w:fill="auto"/>
            <w:vAlign w:val="center"/>
          </w:tcPr>
          <w:p w14:paraId="4686CFFF">
            <w:pPr>
              <w:widowControl/>
              <w:jc w:val="center"/>
              <w:rPr>
                <w:rFonts w:hint="eastAsia" w:ascii="宋体" w:hAnsi="宋体" w:cs="宋体"/>
                <w:kern w:val="0"/>
                <w:sz w:val="20"/>
                <w:szCs w:val="20"/>
              </w:rPr>
            </w:pPr>
            <w:r>
              <w:rPr>
                <w:rFonts w:hint="eastAsia" w:ascii="宋体" w:hAnsi="宋体" w:cs="宋体"/>
                <w:kern w:val="0"/>
                <w:sz w:val="20"/>
                <w:szCs w:val="20"/>
              </w:rPr>
              <w:t>&gt;=80%</w:t>
            </w:r>
          </w:p>
        </w:tc>
        <w:tc>
          <w:tcPr>
            <w:tcW w:w="1003" w:type="dxa"/>
            <w:tcBorders>
              <w:top w:val="nil"/>
              <w:left w:val="nil"/>
              <w:bottom w:val="single" w:color="auto" w:sz="4" w:space="0"/>
              <w:right w:val="single" w:color="auto" w:sz="4" w:space="0"/>
            </w:tcBorders>
            <w:shd w:val="clear" w:color="auto" w:fill="auto"/>
            <w:vAlign w:val="center"/>
          </w:tcPr>
          <w:p w14:paraId="3CE63B89">
            <w:pPr>
              <w:widowControl/>
              <w:jc w:val="center"/>
              <w:rPr>
                <w:rFonts w:hint="eastAsia" w:ascii="宋体" w:hAnsi="宋体" w:cs="宋体"/>
                <w:kern w:val="0"/>
                <w:sz w:val="20"/>
                <w:szCs w:val="20"/>
              </w:rPr>
            </w:pPr>
            <w:r>
              <w:rPr>
                <w:rFonts w:hint="eastAsia" w:ascii="宋体" w:hAnsi="宋体" w:cs="宋体"/>
                <w:kern w:val="0"/>
                <w:sz w:val="20"/>
                <w:szCs w:val="20"/>
              </w:rPr>
              <w:t>木垒县大浪沙水库建设管理处2023年工作计划</w:t>
            </w:r>
          </w:p>
        </w:tc>
        <w:tc>
          <w:tcPr>
            <w:tcW w:w="796" w:type="dxa"/>
            <w:tcBorders>
              <w:top w:val="nil"/>
              <w:left w:val="nil"/>
              <w:bottom w:val="single" w:color="auto" w:sz="4" w:space="0"/>
              <w:right w:val="single" w:color="auto" w:sz="4" w:space="0"/>
            </w:tcBorders>
            <w:shd w:val="clear" w:color="auto" w:fill="auto"/>
            <w:vAlign w:val="center"/>
          </w:tcPr>
          <w:p w14:paraId="6786BEB3">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915" w:type="dxa"/>
            <w:tcBorders>
              <w:top w:val="nil"/>
              <w:left w:val="nil"/>
              <w:bottom w:val="single" w:color="auto" w:sz="4" w:space="0"/>
              <w:right w:val="single" w:color="auto" w:sz="4" w:space="0"/>
            </w:tcBorders>
            <w:shd w:val="clear" w:color="auto" w:fill="auto"/>
            <w:vAlign w:val="center"/>
          </w:tcPr>
          <w:p w14:paraId="374EC141">
            <w:pPr>
              <w:widowControl/>
              <w:jc w:val="center"/>
              <w:rPr>
                <w:rFonts w:hint="eastAsia" w:ascii="宋体" w:hAnsi="宋体" w:cs="宋体"/>
                <w:kern w:val="0"/>
                <w:sz w:val="20"/>
                <w:szCs w:val="20"/>
              </w:rPr>
            </w:pPr>
            <w:r>
              <w:rPr>
                <w:rFonts w:hint="eastAsia" w:ascii="宋体" w:hAnsi="宋体" w:cs="宋体"/>
                <w:kern w:val="0"/>
                <w:sz w:val="20"/>
                <w:szCs w:val="20"/>
              </w:rPr>
              <w:t>80%</w:t>
            </w:r>
          </w:p>
        </w:tc>
        <w:tc>
          <w:tcPr>
            <w:tcW w:w="926" w:type="dxa"/>
            <w:tcBorders>
              <w:top w:val="nil"/>
              <w:left w:val="nil"/>
              <w:bottom w:val="single" w:color="auto" w:sz="4" w:space="0"/>
              <w:right w:val="single" w:color="auto" w:sz="4" w:space="0"/>
            </w:tcBorders>
            <w:shd w:val="clear" w:color="auto" w:fill="auto"/>
            <w:vAlign w:val="center"/>
          </w:tcPr>
          <w:p w14:paraId="6358A77D">
            <w:pPr>
              <w:widowControl/>
              <w:jc w:val="center"/>
              <w:rPr>
                <w:rFonts w:hint="eastAsia" w:ascii="宋体" w:hAnsi="宋体" w:cs="宋体"/>
                <w:kern w:val="0"/>
                <w:sz w:val="20"/>
                <w:szCs w:val="20"/>
              </w:rPr>
            </w:pPr>
            <w:r>
              <w:rPr>
                <w:rFonts w:hint="eastAsia" w:ascii="宋体" w:hAnsi="宋体" w:cs="宋体"/>
                <w:kern w:val="0"/>
                <w:sz w:val="20"/>
                <w:szCs w:val="20"/>
              </w:rPr>
              <w:t>20</w:t>
            </w:r>
          </w:p>
        </w:tc>
      </w:tr>
      <w:tr w14:paraId="50C58E1D">
        <w:tblPrEx>
          <w:tblCellMar>
            <w:top w:w="0" w:type="dxa"/>
            <w:left w:w="108" w:type="dxa"/>
            <w:bottom w:w="0" w:type="dxa"/>
            <w:right w:w="108" w:type="dxa"/>
          </w:tblCellMar>
        </w:tblPrEx>
        <w:trPr>
          <w:trHeight w:val="741" w:hRule="atLeast"/>
          <w:jc w:val="center"/>
        </w:trPr>
        <w:tc>
          <w:tcPr>
            <w:tcW w:w="1547" w:type="dxa"/>
            <w:tcBorders>
              <w:top w:val="single" w:color="auto" w:sz="4" w:space="0"/>
              <w:left w:val="single" w:color="auto" w:sz="4" w:space="0"/>
              <w:bottom w:val="single" w:color="auto" w:sz="4" w:space="0"/>
              <w:right w:val="single" w:color="auto" w:sz="4" w:space="0"/>
            </w:tcBorders>
            <w:shd w:val="clear" w:color="auto" w:fill="auto"/>
            <w:vAlign w:val="center"/>
          </w:tcPr>
          <w:p w14:paraId="34AA50DE">
            <w:pPr>
              <w:widowControl/>
              <w:jc w:val="center"/>
              <w:rPr>
                <w:rFonts w:hint="eastAsia" w:ascii="宋体" w:hAnsi="宋体" w:cs="宋体"/>
                <w:kern w:val="0"/>
                <w:sz w:val="20"/>
                <w:szCs w:val="20"/>
              </w:rPr>
            </w:pPr>
            <w:r>
              <w:rPr>
                <w:rFonts w:hint="eastAsia" w:ascii="宋体" w:hAnsi="宋体" w:cs="宋体"/>
                <w:kern w:val="0"/>
                <w:sz w:val="20"/>
                <w:szCs w:val="20"/>
              </w:rPr>
              <w:t>服务对象满意度</w:t>
            </w:r>
          </w:p>
        </w:tc>
        <w:tc>
          <w:tcPr>
            <w:tcW w:w="1199" w:type="dxa"/>
            <w:vMerge w:val="continue"/>
            <w:tcBorders>
              <w:top w:val="nil"/>
              <w:left w:val="single" w:color="auto" w:sz="4" w:space="0"/>
              <w:bottom w:val="single" w:color="auto" w:sz="4" w:space="0"/>
              <w:right w:val="single" w:color="auto" w:sz="4" w:space="0"/>
            </w:tcBorders>
            <w:vAlign w:val="center"/>
          </w:tcPr>
          <w:p w14:paraId="04ED2ECB">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1A28C291">
            <w:pPr>
              <w:widowControl/>
              <w:jc w:val="center"/>
              <w:rPr>
                <w:rFonts w:hint="eastAsia" w:ascii="宋体" w:hAnsi="宋体" w:cs="宋体"/>
                <w:kern w:val="0"/>
                <w:sz w:val="20"/>
                <w:szCs w:val="20"/>
              </w:rPr>
            </w:pPr>
            <w:r>
              <w:rPr>
                <w:rFonts w:hint="eastAsia" w:ascii="宋体" w:hAnsi="宋体" w:cs="宋体"/>
                <w:kern w:val="0"/>
                <w:sz w:val="20"/>
                <w:szCs w:val="20"/>
              </w:rPr>
              <w:t>居民日常生活供水保障率</w:t>
            </w:r>
          </w:p>
        </w:tc>
        <w:tc>
          <w:tcPr>
            <w:tcW w:w="970" w:type="dxa"/>
            <w:tcBorders>
              <w:top w:val="nil"/>
              <w:left w:val="nil"/>
              <w:bottom w:val="single" w:color="auto" w:sz="4" w:space="0"/>
              <w:right w:val="single" w:color="auto" w:sz="4" w:space="0"/>
            </w:tcBorders>
            <w:shd w:val="clear" w:color="auto" w:fill="auto"/>
            <w:vAlign w:val="center"/>
          </w:tcPr>
          <w:p w14:paraId="28BCFD95">
            <w:pPr>
              <w:widowControl/>
              <w:jc w:val="center"/>
              <w:rPr>
                <w:rFonts w:hint="eastAsia" w:ascii="宋体" w:hAnsi="宋体" w:cs="宋体"/>
                <w:kern w:val="0"/>
                <w:sz w:val="20"/>
                <w:szCs w:val="20"/>
              </w:rPr>
            </w:pPr>
            <w:r>
              <w:rPr>
                <w:rFonts w:hint="eastAsia" w:ascii="宋体" w:hAnsi="宋体" w:cs="宋体"/>
                <w:kern w:val="0"/>
                <w:sz w:val="20"/>
                <w:szCs w:val="20"/>
              </w:rPr>
              <w:t>&gt;=96%</w:t>
            </w:r>
          </w:p>
        </w:tc>
        <w:tc>
          <w:tcPr>
            <w:tcW w:w="1003" w:type="dxa"/>
            <w:tcBorders>
              <w:top w:val="nil"/>
              <w:left w:val="nil"/>
              <w:bottom w:val="single" w:color="auto" w:sz="4" w:space="0"/>
              <w:right w:val="single" w:color="auto" w:sz="4" w:space="0"/>
            </w:tcBorders>
            <w:shd w:val="clear" w:color="auto" w:fill="auto"/>
            <w:vAlign w:val="center"/>
          </w:tcPr>
          <w:p w14:paraId="75590CDA">
            <w:pPr>
              <w:widowControl/>
              <w:jc w:val="center"/>
              <w:rPr>
                <w:rFonts w:hint="eastAsia" w:ascii="宋体" w:hAnsi="宋体" w:cs="宋体"/>
                <w:kern w:val="0"/>
                <w:sz w:val="20"/>
                <w:szCs w:val="20"/>
              </w:rPr>
            </w:pPr>
            <w:r>
              <w:rPr>
                <w:rFonts w:hint="eastAsia" w:ascii="宋体" w:hAnsi="宋体" w:cs="宋体"/>
                <w:kern w:val="0"/>
                <w:sz w:val="20"/>
                <w:szCs w:val="20"/>
              </w:rPr>
              <w:t>木垒县大浪沙水库建设管理处2023年工作计划</w:t>
            </w:r>
          </w:p>
        </w:tc>
        <w:tc>
          <w:tcPr>
            <w:tcW w:w="796" w:type="dxa"/>
            <w:tcBorders>
              <w:top w:val="nil"/>
              <w:left w:val="nil"/>
              <w:bottom w:val="single" w:color="auto" w:sz="4" w:space="0"/>
              <w:right w:val="single" w:color="auto" w:sz="4" w:space="0"/>
            </w:tcBorders>
            <w:shd w:val="clear" w:color="auto" w:fill="auto"/>
            <w:vAlign w:val="center"/>
          </w:tcPr>
          <w:p w14:paraId="744EEB39">
            <w:pPr>
              <w:widowControl/>
              <w:jc w:val="center"/>
              <w:rPr>
                <w:rFonts w:hint="eastAsia" w:ascii="宋体" w:hAnsi="宋体" w:cs="宋体"/>
                <w:kern w:val="0"/>
                <w:sz w:val="20"/>
                <w:szCs w:val="20"/>
              </w:rPr>
            </w:pPr>
            <w:r>
              <w:rPr>
                <w:rFonts w:hint="eastAsia" w:ascii="宋体" w:hAnsi="宋体" w:cs="宋体"/>
                <w:kern w:val="0"/>
                <w:sz w:val="20"/>
                <w:szCs w:val="20"/>
              </w:rPr>
              <w:t>20</w:t>
            </w:r>
          </w:p>
        </w:tc>
        <w:tc>
          <w:tcPr>
            <w:tcW w:w="915" w:type="dxa"/>
            <w:tcBorders>
              <w:top w:val="nil"/>
              <w:left w:val="nil"/>
              <w:bottom w:val="single" w:color="auto" w:sz="4" w:space="0"/>
              <w:right w:val="single" w:color="auto" w:sz="4" w:space="0"/>
            </w:tcBorders>
            <w:shd w:val="clear" w:color="auto" w:fill="auto"/>
            <w:vAlign w:val="center"/>
          </w:tcPr>
          <w:p w14:paraId="12A2D66E">
            <w:pPr>
              <w:widowControl/>
              <w:jc w:val="center"/>
              <w:rPr>
                <w:rFonts w:hint="eastAsia" w:ascii="宋体" w:hAnsi="宋体" w:cs="宋体"/>
                <w:kern w:val="0"/>
                <w:sz w:val="20"/>
                <w:szCs w:val="20"/>
              </w:rPr>
            </w:pPr>
            <w:r>
              <w:rPr>
                <w:rFonts w:hint="eastAsia" w:ascii="宋体" w:hAnsi="宋体" w:cs="宋体"/>
                <w:kern w:val="0"/>
                <w:sz w:val="20"/>
                <w:szCs w:val="20"/>
              </w:rPr>
              <w:t>96%</w:t>
            </w:r>
          </w:p>
        </w:tc>
        <w:tc>
          <w:tcPr>
            <w:tcW w:w="926" w:type="dxa"/>
            <w:tcBorders>
              <w:top w:val="nil"/>
              <w:left w:val="nil"/>
              <w:bottom w:val="single" w:color="auto" w:sz="4" w:space="0"/>
              <w:right w:val="single" w:color="auto" w:sz="4" w:space="0"/>
            </w:tcBorders>
            <w:shd w:val="clear" w:color="auto" w:fill="auto"/>
            <w:vAlign w:val="center"/>
          </w:tcPr>
          <w:p w14:paraId="0C090305">
            <w:pPr>
              <w:widowControl/>
              <w:jc w:val="center"/>
              <w:rPr>
                <w:rFonts w:hint="eastAsia" w:ascii="宋体" w:hAnsi="宋体" w:cs="宋体"/>
                <w:kern w:val="0"/>
                <w:sz w:val="20"/>
                <w:szCs w:val="20"/>
              </w:rPr>
            </w:pPr>
            <w:r>
              <w:rPr>
                <w:rFonts w:hint="eastAsia" w:ascii="宋体" w:hAnsi="宋体" w:cs="宋体"/>
                <w:kern w:val="0"/>
                <w:sz w:val="20"/>
                <w:szCs w:val="20"/>
              </w:rPr>
              <w:t>20</w:t>
            </w:r>
          </w:p>
        </w:tc>
      </w:tr>
    </w:tbl>
    <w:p w14:paraId="64ADF52E">
      <w:pPr>
        <w:ind w:firstLine="640" w:firstLineChars="200"/>
        <w:jc w:val="left"/>
        <w:rPr>
          <w:rFonts w:hint="eastAsia" w:ascii="黑体" w:hAnsi="黑体" w:eastAsia="黑体" w:cs="宋体"/>
          <w:bCs/>
          <w:kern w:val="0"/>
          <w:sz w:val="32"/>
          <w:szCs w:val="32"/>
        </w:rPr>
      </w:pPr>
    </w:p>
    <w:tbl>
      <w:tblPr>
        <w:tblStyle w:val="9"/>
        <w:tblW w:w="4869" w:type="pct"/>
        <w:jc w:val="center"/>
        <w:tblLayout w:type="autofit"/>
        <w:tblCellMar>
          <w:top w:w="0" w:type="dxa"/>
          <w:left w:w="108" w:type="dxa"/>
          <w:bottom w:w="0" w:type="dxa"/>
          <w:right w:w="108" w:type="dxa"/>
        </w:tblCellMar>
      </w:tblPr>
      <w:tblGrid>
        <w:gridCol w:w="491"/>
        <w:gridCol w:w="491"/>
        <w:gridCol w:w="1252"/>
        <w:gridCol w:w="337"/>
        <w:gridCol w:w="900"/>
        <w:gridCol w:w="558"/>
        <w:gridCol w:w="886"/>
        <w:gridCol w:w="780"/>
        <w:gridCol w:w="243"/>
        <w:gridCol w:w="402"/>
        <w:gridCol w:w="255"/>
        <w:gridCol w:w="557"/>
        <w:gridCol w:w="396"/>
        <w:gridCol w:w="751"/>
      </w:tblGrid>
      <w:tr w14:paraId="185D996C">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F4AEC7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3D78DEF">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9D38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DF30872">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6CC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2BCC0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关于申请大浪沙水库运行维护费用的报告</w:t>
            </w:r>
          </w:p>
        </w:tc>
      </w:tr>
      <w:tr w14:paraId="550566CF">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97EC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02658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木垒县大浪沙水库本级</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BADAC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0C23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木垒县大浪沙水库本级</w:t>
            </w:r>
          </w:p>
        </w:tc>
      </w:tr>
      <w:tr w14:paraId="6C02C1AC">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B45F9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69343F5">
            <w:pPr>
              <w:widowControl/>
              <w:jc w:val="center"/>
              <w:rPr>
                <w:rFonts w:hint="eastAsia" w:ascii="宋体" w:hAnsi="宋体" w:cs="宋体"/>
                <w:color w:val="000000"/>
                <w:kern w:val="0"/>
                <w:sz w:val="20"/>
                <w:szCs w:val="20"/>
              </w:rPr>
            </w:pPr>
          </w:p>
        </w:tc>
        <w:tc>
          <w:tcPr>
            <w:tcW w:w="900" w:type="dxa"/>
            <w:tcBorders>
              <w:top w:val="nil"/>
              <w:left w:val="nil"/>
              <w:bottom w:val="single" w:color="auto" w:sz="4" w:space="0"/>
              <w:right w:val="single" w:color="auto" w:sz="4" w:space="0"/>
            </w:tcBorders>
            <w:shd w:val="clear" w:color="auto" w:fill="auto"/>
            <w:vAlign w:val="center"/>
          </w:tcPr>
          <w:p w14:paraId="6AA2F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08C182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2C4D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38F68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FB9A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50587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6CD2CD5">
        <w:tblPrEx>
          <w:tblCellMar>
            <w:top w:w="0" w:type="dxa"/>
            <w:left w:w="108" w:type="dxa"/>
            <w:bottom w:w="0" w:type="dxa"/>
            <w:right w:w="108" w:type="dxa"/>
          </w:tblCellMar>
        </w:tblPrEx>
        <w:trPr>
          <w:trHeight w:val="438"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40CCD41A">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CF1C3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1E91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56646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65D35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76A7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ACE67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B5A6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6F8369F">
        <w:tblPrEx>
          <w:tblCellMar>
            <w:top w:w="0" w:type="dxa"/>
            <w:left w:w="108" w:type="dxa"/>
            <w:bottom w:w="0" w:type="dxa"/>
            <w:right w:w="108" w:type="dxa"/>
          </w:tblCellMar>
        </w:tblPrEx>
        <w:trPr>
          <w:trHeight w:val="438"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083D9876">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E0E9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11E9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1D535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20B2E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B2EC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CD81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851D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9921B8">
        <w:tblPrEx>
          <w:tblCellMar>
            <w:top w:w="0" w:type="dxa"/>
            <w:left w:w="108" w:type="dxa"/>
            <w:bottom w:w="0" w:type="dxa"/>
            <w:right w:w="108" w:type="dxa"/>
          </w:tblCellMar>
        </w:tblPrEx>
        <w:trPr>
          <w:trHeight w:val="438"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25764678">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57A3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7CC4D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79E9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96CA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82A0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F129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73306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320BA7">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CAF66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70005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57DEC4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F54230">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2F5CB33">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3A8152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大浪沙水库主要承担防洪、人畜饮水等最后功能，为保障大浪沙水库正常运行，发挥防洪、人畜饮水、保障大浪沙检查站、周边农牧民及服务区等范围内的人畜饮水需求。申请资金，用于水库检查、养护、正常运行管理开支。</w:t>
            </w:r>
          </w:p>
        </w:tc>
        <w:tc>
          <w:tcPr>
            <w:tcW w:w="3384" w:type="dxa"/>
            <w:gridSpan w:val="7"/>
            <w:tcBorders>
              <w:top w:val="single" w:color="auto" w:sz="4" w:space="0"/>
              <w:left w:val="nil"/>
              <w:bottom w:val="single" w:color="auto" w:sz="4" w:space="0"/>
              <w:right w:val="single" w:color="auto" w:sz="4" w:space="0"/>
            </w:tcBorders>
            <w:shd w:val="clear" w:color="auto" w:fill="auto"/>
          </w:tcPr>
          <w:p w14:paraId="0E57EB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本项目已完成如下工作：做好大浪沙水库的防汛工作，水库日常巡视巡查，水库设施的日常维保工作，保障水库的安全运行。</w:t>
            </w:r>
          </w:p>
        </w:tc>
      </w:tr>
      <w:tr w14:paraId="76DEC4B3">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4F918D6">
            <w:pPr>
              <w:widowControl/>
              <w:jc w:val="center"/>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33A8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3" w:type="dxa"/>
            <w:vMerge w:val="restart"/>
            <w:tcBorders>
              <w:top w:val="nil"/>
              <w:left w:val="single" w:color="auto" w:sz="4" w:space="0"/>
              <w:bottom w:val="single" w:color="auto" w:sz="4" w:space="0"/>
              <w:right w:val="single" w:color="auto" w:sz="4" w:space="0"/>
            </w:tcBorders>
            <w:shd w:val="clear" w:color="auto" w:fill="auto"/>
            <w:vAlign w:val="center"/>
          </w:tcPr>
          <w:p w14:paraId="77021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7C9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371CD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68BCAA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EA2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FE0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3628D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E1FA0B2">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B2D07F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997F2E3">
            <w:pPr>
              <w:widowControl/>
              <w:jc w:val="left"/>
              <w:rPr>
                <w:rFonts w:hint="eastAsia" w:ascii="宋体" w:hAnsi="宋体" w:cs="宋体"/>
                <w:color w:val="000000"/>
                <w:kern w:val="0"/>
                <w:sz w:val="20"/>
                <w:szCs w:val="20"/>
              </w:rPr>
            </w:pPr>
          </w:p>
        </w:tc>
        <w:tc>
          <w:tcPr>
            <w:tcW w:w="1253" w:type="dxa"/>
            <w:vMerge w:val="continue"/>
            <w:tcBorders>
              <w:top w:val="nil"/>
              <w:left w:val="single" w:color="auto" w:sz="4" w:space="0"/>
              <w:bottom w:val="single" w:color="auto" w:sz="4" w:space="0"/>
              <w:right w:val="single" w:color="auto" w:sz="4" w:space="0"/>
            </w:tcBorders>
            <w:vAlign w:val="center"/>
          </w:tcPr>
          <w:p w14:paraId="054DCBFB">
            <w:pPr>
              <w:widowControl/>
              <w:jc w:val="left"/>
              <w:rPr>
                <w:rFonts w:hint="eastAsia" w:ascii="宋体" w:hAnsi="宋体" w:cs="宋体"/>
                <w:color w:val="000000"/>
                <w:kern w:val="0"/>
                <w:sz w:val="20"/>
                <w:szCs w:val="20"/>
              </w:rPr>
            </w:pPr>
          </w:p>
        </w:tc>
        <w:tc>
          <w:tcPr>
            <w:tcW w:w="1795" w:type="dxa"/>
            <w:gridSpan w:val="3"/>
            <w:vMerge w:val="continue"/>
            <w:tcBorders>
              <w:top w:val="single" w:color="auto" w:sz="4" w:space="0"/>
              <w:left w:val="single" w:color="auto" w:sz="4" w:space="0"/>
              <w:bottom w:val="single" w:color="auto" w:sz="4" w:space="0"/>
              <w:right w:val="single" w:color="auto" w:sz="4" w:space="0"/>
            </w:tcBorders>
            <w:vAlign w:val="center"/>
          </w:tcPr>
          <w:p w14:paraId="149703AC">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0074ACC3">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7146F10">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05F57177">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340E872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2C62FB95">
            <w:pPr>
              <w:widowControl/>
              <w:jc w:val="left"/>
              <w:rPr>
                <w:rFonts w:hint="eastAsia" w:ascii="宋体" w:hAnsi="宋体" w:cs="宋体"/>
                <w:color w:val="000000"/>
                <w:kern w:val="0"/>
                <w:sz w:val="20"/>
                <w:szCs w:val="20"/>
              </w:rPr>
            </w:pPr>
          </w:p>
        </w:tc>
      </w:tr>
      <w:tr w14:paraId="7C31FE62">
        <w:tblPrEx>
          <w:tblCellMar>
            <w:top w:w="0" w:type="dxa"/>
            <w:left w:w="108" w:type="dxa"/>
            <w:bottom w:w="0" w:type="dxa"/>
            <w:right w:w="108" w:type="dxa"/>
          </w:tblCellMar>
        </w:tblPrEx>
        <w:trPr>
          <w:trHeight w:val="40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E64B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9231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3" w:type="dxa"/>
            <w:tcBorders>
              <w:top w:val="nil"/>
              <w:left w:val="nil"/>
              <w:bottom w:val="single" w:color="auto" w:sz="4" w:space="0"/>
              <w:right w:val="single" w:color="auto" w:sz="4" w:space="0"/>
            </w:tcBorders>
            <w:shd w:val="clear" w:color="auto" w:fill="auto"/>
            <w:vAlign w:val="center"/>
          </w:tcPr>
          <w:p w14:paraId="51CAE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711296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日常巡查次数（次）</w:t>
            </w:r>
          </w:p>
        </w:tc>
        <w:tc>
          <w:tcPr>
            <w:tcW w:w="886" w:type="dxa"/>
            <w:tcBorders>
              <w:top w:val="nil"/>
              <w:left w:val="nil"/>
              <w:bottom w:val="single" w:color="auto" w:sz="4" w:space="0"/>
              <w:right w:val="single" w:color="auto" w:sz="4" w:space="0"/>
            </w:tcBorders>
            <w:shd w:val="clear" w:color="auto" w:fill="auto"/>
            <w:vAlign w:val="center"/>
          </w:tcPr>
          <w:p w14:paraId="71335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&gt;=1次</w:t>
            </w:r>
          </w:p>
        </w:tc>
        <w:tc>
          <w:tcPr>
            <w:tcW w:w="780" w:type="dxa"/>
            <w:tcBorders>
              <w:top w:val="nil"/>
              <w:left w:val="nil"/>
              <w:bottom w:val="single" w:color="auto" w:sz="4" w:space="0"/>
              <w:right w:val="single" w:color="auto" w:sz="4" w:space="0"/>
            </w:tcBorders>
            <w:shd w:val="clear" w:color="auto" w:fill="auto"/>
            <w:vAlign w:val="center"/>
          </w:tcPr>
          <w:p w14:paraId="59A29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D8AD1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1930E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1AB0A36">
            <w:pPr>
              <w:widowControl/>
              <w:jc w:val="center"/>
              <w:rPr>
                <w:rFonts w:hint="eastAsia" w:ascii="宋体" w:hAnsi="宋体" w:cs="宋体"/>
                <w:color w:val="000000"/>
                <w:kern w:val="0"/>
                <w:sz w:val="20"/>
                <w:szCs w:val="20"/>
              </w:rPr>
            </w:pPr>
          </w:p>
        </w:tc>
      </w:tr>
      <w:tr w14:paraId="1FFE7CF3">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4F8F96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E84AB5F">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14:paraId="42AF5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5C726C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水库设施完好率</w:t>
            </w:r>
          </w:p>
        </w:tc>
        <w:tc>
          <w:tcPr>
            <w:tcW w:w="886" w:type="dxa"/>
            <w:tcBorders>
              <w:top w:val="nil"/>
              <w:left w:val="nil"/>
              <w:bottom w:val="single" w:color="auto" w:sz="4" w:space="0"/>
              <w:right w:val="single" w:color="auto" w:sz="4" w:space="0"/>
            </w:tcBorders>
            <w:shd w:val="clear" w:color="auto" w:fill="auto"/>
            <w:vAlign w:val="center"/>
          </w:tcPr>
          <w:p w14:paraId="2CB54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2B90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EC35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67DC4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E87404">
            <w:pPr>
              <w:widowControl/>
              <w:jc w:val="center"/>
              <w:rPr>
                <w:rFonts w:hint="eastAsia" w:ascii="宋体" w:hAnsi="宋体" w:cs="宋体"/>
                <w:color w:val="000000"/>
                <w:kern w:val="0"/>
                <w:sz w:val="20"/>
                <w:szCs w:val="20"/>
              </w:rPr>
            </w:pPr>
          </w:p>
        </w:tc>
      </w:tr>
      <w:tr w14:paraId="3A4AE584">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10C27F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A65A5E3">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14:paraId="3899E5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02F45A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汛期洪水上报时限</w:t>
            </w:r>
          </w:p>
        </w:tc>
        <w:tc>
          <w:tcPr>
            <w:tcW w:w="886" w:type="dxa"/>
            <w:tcBorders>
              <w:top w:val="nil"/>
              <w:left w:val="nil"/>
              <w:bottom w:val="single" w:color="auto" w:sz="4" w:space="0"/>
              <w:right w:val="single" w:color="auto" w:sz="4" w:space="0"/>
            </w:tcBorders>
            <w:shd w:val="clear" w:color="auto" w:fill="auto"/>
            <w:vAlign w:val="center"/>
          </w:tcPr>
          <w:p w14:paraId="7352A7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&lt;=2小时</w:t>
            </w:r>
          </w:p>
        </w:tc>
        <w:tc>
          <w:tcPr>
            <w:tcW w:w="780" w:type="dxa"/>
            <w:tcBorders>
              <w:top w:val="nil"/>
              <w:left w:val="nil"/>
              <w:bottom w:val="single" w:color="auto" w:sz="4" w:space="0"/>
              <w:right w:val="single" w:color="auto" w:sz="4" w:space="0"/>
            </w:tcBorders>
            <w:shd w:val="clear" w:color="auto" w:fill="auto"/>
            <w:vAlign w:val="center"/>
          </w:tcPr>
          <w:p w14:paraId="44F55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=2小时</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3DEE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A6D22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7DE4CC5">
            <w:pPr>
              <w:widowControl/>
              <w:jc w:val="center"/>
              <w:rPr>
                <w:rFonts w:hint="eastAsia" w:ascii="宋体" w:hAnsi="宋体" w:cs="宋体"/>
                <w:color w:val="000000"/>
                <w:kern w:val="0"/>
                <w:sz w:val="20"/>
                <w:szCs w:val="20"/>
              </w:rPr>
            </w:pPr>
          </w:p>
        </w:tc>
      </w:tr>
      <w:tr w14:paraId="04701819">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653D2B7">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8C7A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3" w:type="dxa"/>
            <w:tcBorders>
              <w:top w:val="nil"/>
              <w:left w:val="nil"/>
              <w:bottom w:val="single" w:color="auto" w:sz="4" w:space="0"/>
              <w:right w:val="single" w:color="auto" w:sz="4" w:space="0"/>
            </w:tcBorders>
            <w:shd w:val="clear" w:color="auto" w:fill="auto"/>
            <w:vAlign w:val="center"/>
          </w:tcPr>
          <w:p w14:paraId="5E738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1083A1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24D23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3056E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1A9CD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A4D7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D3B84B">
            <w:pPr>
              <w:widowControl/>
              <w:jc w:val="center"/>
              <w:rPr>
                <w:rFonts w:hint="eastAsia" w:ascii="宋体" w:hAnsi="宋体" w:cs="宋体"/>
                <w:color w:val="000000"/>
                <w:kern w:val="0"/>
                <w:sz w:val="20"/>
                <w:szCs w:val="20"/>
              </w:rPr>
            </w:pPr>
          </w:p>
        </w:tc>
      </w:tr>
      <w:tr w14:paraId="6F7211E6">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B591A5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4559D8F">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14:paraId="638A3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47A41C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14:paraId="7DE9D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1012E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0E53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AEA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7E91FD0">
            <w:pPr>
              <w:widowControl/>
              <w:jc w:val="center"/>
              <w:rPr>
                <w:rFonts w:hint="eastAsia" w:ascii="宋体" w:hAnsi="宋体" w:cs="宋体"/>
                <w:color w:val="000000"/>
                <w:kern w:val="0"/>
                <w:sz w:val="20"/>
                <w:szCs w:val="20"/>
              </w:rPr>
            </w:pPr>
          </w:p>
        </w:tc>
      </w:tr>
      <w:tr w14:paraId="189DB2C2">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625904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A1DBB9A">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14:paraId="11B2F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19B24FD1">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68ACD3C0">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494449E3">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BD35AD6">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650A79F">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F3B5D78">
            <w:pPr>
              <w:widowControl/>
              <w:jc w:val="center"/>
              <w:rPr>
                <w:rFonts w:hint="eastAsia" w:ascii="宋体" w:hAnsi="宋体" w:cs="宋体"/>
                <w:color w:val="000000"/>
                <w:kern w:val="0"/>
                <w:sz w:val="20"/>
                <w:szCs w:val="20"/>
              </w:rPr>
            </w:pPr>
          </w:p>
        </w:tc>
      </w:tr>
      <w:tr w14:paraId="268A287B">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4DF83A8">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DCAB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3" w:type="dxa"/>
            <w:tcBorders>
              <w:top w:val="nil"/>
              <w:left w:val="nil"/>
              <w:bottom w:val="single" w:color="auto" w:sz="4" w:space="0"/>
              <w:right w:val="single" w:color="auto" w:sz="4" w:space="0"/>
            </w:tcBorders>
            <w:shd w:val="clear" w:color="auto" w:fill="auto"/>
            <w:vAlign w:val="center"/>
          </w:tcPr>
          <w:p w14:paraId="244D6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478650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保障灌区农作物产量</w:t>
            </w:r>
          </w:p>
        </w:tc>
        <w:tc>
          <w:tcPr>
            <w:tcW w:w="886" w:type="dxa"/>
            <w:tcBorders>
              <w:top w:val="nil"/>
              <w:left w:val="nil"/>
              <w:bottom w:val="single" w:color="auto" w:sz="4" w:space="0"/>
              <w:right w:val="single" w:color="auto" w:sz="4" w:space="0"/>
            </w:tcBorders>
            <w:shd w:val="clear" w:color="auto" w:fill="auto"/>
            <w:vAlign w:val="center"/>
          </w:tcPr>
          <w:p w14:paraId="06CD8C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80" w:type="dxa"/>
            <w:tcBorders>
              <w:top w:val="nil"/>
              <w:left w:val="nil"/>
              <w:bottom w:val="single" w:color="auto" w:sz="4" w:space="0"/>
              <w:right w:val="single" w:color="auto" w:sz="4" w:space="0"/>
            </w:tcBorders>
            <w:shd w:val="clear" w:color="auto" w:fill="auto"/>
            <w:vAlign w:val="center"/>
          </w:tcPr>
          <w:p w14:paraId="16A0D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3517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7519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F5EE1DC">
            <w:pPr>
              <w:widowControl/>
              <w:jc w:val="center"/>
              <w:rPr>
                <w:rFonts w:hint="eastAsia" w:ascii="宋体" w:hAnsi="宋体" w:cs="宋体"/>
                <w:color w:val="000000"/>
                <w:kern w:val="0"/>
                <w:sz w:val="20"/>
                <w:szCs w:val="20"/>
              </w:rPr>
            </w:pPr>
          </w:p>
        </w:tc>
      </w:tr>
      <w:tr w14:paraId="4DB0F07C">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D3FB44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FF3C71C">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14:paraId="362A43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0E64E1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保障灌区供水</w:t>
            </w:r>
          </w:p>
        </w:tc>
        <w:tc>
          <w:tcPr>
            <w:tcW w:w="886" w:type="dxa"/>
            <w:tcBorders>
              <w:top w:val="nil"/>
              <w:left w:val="nil"/>
              <w:bottom w:val="single" w:color="auto" w:sz="4" w:space="0"/>
              <w:right w:val="single" w:color="auto" w:sz="4" w:space="0"/>
            </w:tcBorders>
            <w:shd w:val="clear" w:color="auto" w:fill="auto"/>
            <w:vAlign w:val="center"/>
          </w:tcPr>
          <w:p w14:paraId="4F364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780" w:type="dxa"/>
            <w:tcBorders>
              <w:top w:val="nil"/>
              <w:left w:val="nil"/>
              <w:bottom w:val="single" w:color="auto" w:sz="4" w:space="0"/>
              <w:right w:val="single" w:color="auto" w:sz="4" w:space="0"/>
            </w:tcBorders>
            <w:shd w:val="clear" w:color="auto" w:fill="auto"/>
            <w:vAlign w:val="center"/>
          </w:tcPr>
          <w:p w14:paraId="710DE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有效保障</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C8A4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06FF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2E58EEC">
            <w:pPr>
              <w:widowControl/>
              <w:jc w:val="center"/>
              <w:rPr>
                <w:rFonts w:hint="eastAsia" w:ascii="宋体" w:hAnsi="宋体" w:cs="宋体"/>
                <w:color w:val="000000"/>
                <w:kern w:val="0"/>
                <w:sz w:val="20"/>
                <w:szCs w:val="20"/>
              </w:rPr>
            </w:pPr>
          </w:p>
        </w:tc>
      </w:tr>
      <w:tr w14:paraId="118DF9F7">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8069F1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112DBBF">
            <w:pPr>
              <w:widowControl/>
              <w:jc w:val="left"/>
              <w:rPr>
                <w:rFonts w:hint="eastAsia" w:ascii="宋体" w:hAnsi="宋体" w:cs="宋体"/>
                <w:color w:val="000000"/>
                <w:kern w:val="0"/>
                <w:sz w:val="20"/>
                <w:szCs w:val="20"/>
              </w:rPr>
            </w:pPr>
          </w:p>
        </w:tc>
        <w:tc>
          <w:tcPr>
            <w:tcW w:w="1253" w:type="dxa"/>
            <w:tcBorders>
              <w:top w:val="nil"/>
              <w:left w:val="nil"/>
              <w:bottom w:val="single" w:color="auto" w:sz="4" w:space="0"/>
              <w:right w:val="single" w:color="auto" w:sz="4" w:space="0"/>
            </w:tcBorders>
            <w:shd w:val="clear" w:color="auto" w:fill="auto"/>
            <w:vAlign w:val="center"/>
          </w:tcPr>
          <w:p w14:paraId="5B8521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1D6D9EA5">
            <w:pPr>
              <w:widowControl/>
              <w:jc w:val="left"/>
              <w:rPr>
                <w:rFonts w:hint="eastAsia" w:ascii="宋体" w:hAnsi="宋体" w:cs="宋体"/>
                <w:color w:val="000000"/>
                <w:kern w:val="0"/>
                <w:sz w:val="20"/>
                <w:szCs w:val="20"/>
              </w:rPr>
            </w:pPr>
          </w:p>
        </w:tc>
        <w:tc>
          <w:tcPr>
            <w:tcW w:w="886" w:type="dxa"/>
            <w:tcBorders>
              <w:top w:val="nil"/>
              <w:left w:val="nil"/>
              <w:bottom w:val="single" w:color="auto" w:sz="4" w:space="0"/>
              <w:right w:val="single" w:color="auto" w:sz="4" w:space="0"/>
            </w:tcBorders>
            <w:shd w:val="clear" w:color="auto" w:fill="auto"/>
            <w:vAlign w:val="center"/>
          </w:tcPr>
          <w:p w14:paraId="116BE122">
            <w:pPr>
              <w:widowControl/>
              <w:jc w:val="center"/>
              <w:rPr>
                <w:rFonts w:hint="eastAsia" w:ascii="宋体" w:hAnsi="宋体" w:cs="宋体"/>
                <w:color w:val="000000"/>
                <w:kern w:val="0"/>
                <w:sz w:val="20"/>
                <w:szCs w:val="20"/>
              </w:rPr>
            </w:pPr>
          </w:p>
        </w:tc>
        <w:tc>
          <w:tcPr>
            <w:tcW w:w="780" w:type="dxa"/>
            <w:tcBorders>
              <w:top w:val="nil"/>
              <w:left w:val="nil"/>
              <w:bottom w:val="single" w:color="auto" w:sz="4" w:space="0"/>
              <w:right w:val="single" w:color="auto" w:sz="4" w:space="0"/>
            </w:tcBorders>
            <w:shd w:val="clear" w:color="auto" w:fill="auto"/>
            <w:vAlign w:val="center"/>
          </w:tcPr>
          <w:p w14:paraId="72A889E0">
            <w:pPr>
              <w:widowControl/>
              <w:jc w:val="center"/>
              <w:rPr>
                <w:rFonts w:hint="eastAsia" w:ascii="宋体" w:hAnsi="宋体" w:cs="宋体"/>
                <w:color w:val="000000"/>
                <w:kern w:val="0"/>
                <w:sz w:val="20"/>
                <w:szCs w:val="20"/>
              </w:rPr>
            </w:pP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6BE3CE0">
            <w:pPr>
              <w:widowControl/>
              <w:jc w:val="center"/>
              <w:rPr>
                <w:rFonts w:hint="eastAsia" w:ascii="宋体" w:hAnsi="宋体" w:cs="宋体"/>
                <w:color w:val="000000"/>
                <w:kern w:val="0"/>
                <w:sz w:val="20"/>
                <w:szCs w:val="20"/>
              </w:rPr>
            </w:pP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B3249CD">
            <w:pPr>
              <w:widowControl/>
              <w:jc w:val="center"/>
              <w:rPr>
                <w:rFonts w:hint="eastAsia" w:ascii="宋体" w:hAnsi="宋体" w:cs="宋体"/>
                <w:color w:val="000000"/>
                <w:kern w:val="0"/>
                <w:sz w:val="20"/>
                <w:szCs w:val="20"/>
              </w:rPr>
            </w:pP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345EA95">
            <w:pPr>
              <w:widowControl/>
              <w:jc w:val="center"/>
              <w:rPr>
                <w:rFonts w:hint="eastAsia" w:ascii="宋体" w:hAnsi="宋体" w:cs="宋体"/>
                <w:color w:val="000000"/>
                <w:kern w:val="0"/>
                <w:sz w:val="20"/>
                <w:szCs w:val="20"/>
              </w:rPr>
            </w:pPr>
          </w:p>
        </w:tc>
      </w:tr>
      <w:tr w14:paraId="4B35F71A">
        <w:tblPrEx>
          <w:tblCellMar>
            <w:top w:w="0" w:type="dxa"/>
            <w:left w:w="108" w:type="dxa"/>
            <w:bottom w:w="0" w:type="dxa"/>
            <w:right w:w="108" w:type="dxa"/>
          </w:tblCellMar>
        </w:tblPrEx>
        <w:trPr>
          <w:trHeight w:val="40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EBB271D">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CD84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3" w:type="dxa"/>
            <w:tcBorders>
              <w:top w:val="nil"/>
              <w:left w:val="nil"/>
              <w:bottom w:val="single" w:color="auto" w:sz="4" w:space="0"/>
              <w:right w:val="single" w:color="auto" w:sz="4" w:space="0"/>
            </w:tcBorders>
            <w:shd w:val="clear" w:color="auto" w:fill="auto"/>
            <w:vAlign w:val="center"/>
          </w:tcPr>
          <w:p w14:paraId="50444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5" w:type="dxa"/>
            <w:gridSpan w:val="3"/>
            <w:tcBorders>
              <w:top w:val="single" w:color="auto" w:sz="4" w:space="0"/>
              <w:left w:val="nil"/>
              <w:bottom w:val="single" w:color="auto" w:sz="4" w:space="0"/>
              <w:right w:val="single" w:color="auto" w:sz="4" w:space="0"/>
            </w:tcBorders>
            <w:shd w:val="clear" w:color="auto" w:fill="auto"/>
            <w:noWrap/>
            <w:vAlign w:val="center"/>
          </w:tcPr>
          <w:p w14:paraId="65C832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86" w:type="dxa"/>
            <w:tcBorders>
              <w:top w:val="nil"/>
              <w:left w:val="nil"/>
              <w:bottom w:val="single" w:color="auto" w:sz="4" w:space="0"/>
              <w:right w:val="single" w:color="auto" w:sz="4" w:space="0"/>
            </w:tcBorders>
            <w:shd w:val="clear" w:color="auto" w:fill="auto"/>
            <w:vAlign w:val="center"/>
          </w:tcPr>
          <w:p w14:paraId="4C538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3AF708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20B5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9453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FCE3F80">
            <w:pPr>
              <w:widowControl/>
              <w:jc w:val="center"/>
              <w:rPr>
                <w:rFonts w:hint="eastAsia" w:ascii="宋体" w:hAnsi="宋体" w:cs="宋体"/>
                <w:color w:val="000000"/>
                <w:kern w:val="0"/>
                <w:sz w:val="20"/>
                <w:szCs w:val="20"/>
              </w:rPr>
            </w:pPr>
          </w:p>
        </w:tc>
      </w:tr>
      <w:tr w14:paraId="43B9A4EA">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0558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C0A1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B6C39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F55724">
            <w:pPr>
              <w:widowControl/>
              <w:jc w:val="center"/>
              <w:rPr>
                <w:rFonts w:hint="eastAsia" w:ascii="宋体" w:hAnsi="宋体" w:cs="宋体"/>
                <w:color w:val="000000"/>
                <w:kern w:val="0"/>
                <w:sz w:val="20"/>
                <w:szCs w:val="20"/>
              </w:rPr>
            </w:pPr>
          </w:p>
        </w:tc>
      </w:tr>
    </w:tbl>
    <w:p w14:paraId="281A51D0">
      <w:pPr>
        <w:ind w:firstLine="640" w:firstLineChars="200"/>
        <w:jc w:val="left"/>
        <w:rPr>
          <w:rFonts w:hint="eastAsia" w:ascii="黑体" w:hAnsi="黑体" w:eastAsia="黑体" w:cs="宋体"/>
          <w:bCs/>
          <w:kern w:val="0"/>
          <w:sz w:val="32"/>
          <w:szCs w:val="32"/>
        </w:rPr>
      </w:pPr>
    </w:p>
    <w:p w14:paraId="622F289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463520AA">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634488E5">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744AA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044837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F75204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B6379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223D6B0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293EDF9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C13FEE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627422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B21C8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A2068B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85EEA75">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1C557581">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1589980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9A06EE">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208AFC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024B4A0C">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1D64540D">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2CF93837">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FEE5704">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58D27C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33B7906">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0B9EA77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608B09E5">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51078097">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27DCF800">
      <w:pPr>
        <w:ind w:firstLine="640" w:firstLineChars="200"/>
        <w:rPr>
          <w:rFonts w:ascii="仿宋_GB2312" w:eastAsia="仿宋_GB2312"/>
          <w:sz w:val="32"/>
          <w:szCs w:val="32"/>
        </w:rPr>
      </w:pPr>
    </w:p>
    <w:p w14:paraId="6322D4FD">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78D0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6CB88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F6CB880">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FA7CAB"/>
    <w:rsid w:val="00102F85"/>
    <w:rsid w:val="001817DC"/>
    <w:rsid w:val="001A5448"/>
    <w:rsid w:val="00213C59"/>
    <w:rsid w:val="002F468E"/>
    <w:rsid w:val="003210CE"/>
    <w:rsid w:val="004419B3"/>
    <w:rsid w:val="00447F4B"/>
    <w:rsid w:val="004E3E03"/>
    <w:rsid w:val="0056232C"/>
    <w:rsid w:val="0066064B"/>
    <w:rsid w:val="00722731"/>
    <w:rsid w:val="00747C8C"/>
    <w:rsid w:val="00840C40"/>
    <w:rsid w:val="0087020A"/>
    <w:rsid w:val="00903817"/>
    <w:rsid w:val="009208D4"/>
    <w:rsid w:val="00933E19"/>
    <w:rsid w:val="00953B3E"/>
    <w:rsid w:val="00A13DD4"/>
    <w:rsid w:val="00A2518B"/>
    <w:rsid w:val="00A422E2"/>
    <w:rsid w:val="00A734E0"/>
    <w:rsid w:val="00B43542"/>
    <w:rsid w:val="00B70D59"/>
    <w:rsid w:val="00C20642"/>
    <w:rsid w:val="00D443E0"/>
    <w:rsid w:val="00DB01C4"/>
    <w:rsid w:val="00E22A60"/>
    <w:rsid w:val="00F52A8D"/>
    <w:rsid w:val="00FA0A6A"/>
    <w:rsid w:val="00FA7CAB"/>
    <w:rsid w:val="00FB662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0C3DAA"/>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1FD629D"/>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5971</Words>
  <Characters>6731</Characters>
  <Lines>56</Lines>
  <Paragraphs>16</Paragraphs>
  <TotalTime>0</TotalTime>
  <ScaleCrop>false</ScaleCrop>
  <LinksUpToDate>false</LinksUpToDate>
  <CharactersWithSpaces>6743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2024-12-27T06:16:06Z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